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88BAA" w14:textId="63F7C3E9" w:rsidR="00055EB6" w:rsidRPr="005D60D8" w:rsidRDefault="00055EB6" w:rsidP="00055EB6">
      <w:pPr>
        <w:pStyle w:val="CRCoverPage"/>
        <w:tabs>
          <w:tab w:val="right" w:pos="9639"/>
        </w:tabs>
        <w:spacing w:after="0"/>
        <w:rPr>
          <w:b/>
          <w:i/>
          <w:noProof/>
          <w:sz w:val="24"/>
          <w:szCs w:val="24"/>
        </w:rPr>
      </w:pPr>
      <w:bookmarkStart w:id="0" w:name="_Hlk115193383"/>
      <w:bookmarkEnd w:id="0"/>
      <w:r w:rsidRPr="005D60D8">
        <w:rPr>
          <w:b/>
          <w:noProof/>
          <w:sz w:val="24"/>
          <w:szCs w:val="24"/>
        </w:rPr>
        <w:t xml:space="preserve">3GPP TSG-RAN </w:t>
      </w:r>
      <w:r w:rsidRPr="005D60D8">
        <w:rPr>
          <w:rFonts w:hint="eastAsia"/>
          <w:b/>
          <w:noProof/>
          <w:sz w:val="24"/>
          <w:szCs w:val="24"/>
          <w:lang w:eastAsia="zh-CN"/>
        </w:rPr>
        <w:t>WG</w:t>
      </w:r>
      <w:r w:rsidRPr="005D60D8">
        <w:rPr>
          <w:b/>
          <w:noProof/>
          <w:sz w:val="24"/>
          <w:szCs w:val="24"/>
        </w:rPr>
        <w:t>2 Meeting #</w:t>
      </w:r>
      <w:r w:rsidR="00D6323F">
        <w:rPr>
          <w:b/>
          <w:noProof/>
          <w:sz w:val="24"/>
          <w:szCs w:val="24"/>
        </w:rPr>
        <w:t>120</w:t>
      </w:r>
      <w:r w:rsidRPr="005D60D8">
        <w:rPr>
          <w:b/>
          <w:i/>
          <w:noProof/>
          <w:sz w:val="24"/>
          <w:szCs w:val="24"/>
        </w:rPr>
        <w:tab/>
      </w:r>
      <w:r w:rsidR="00495AC0" w:rsidRPr="00495AC0">
        <w:rPr>
          <w:b/>
          <w:iCs/>
          <w:noProof/>
          <w:sz w:val="24"/>
          <w:szCs w:val="24"/>
          <w:shd w:val="clear" w:color="auto" w:fill="FFFF00"/>
        </w:rPr>
        <w:t>R2-2212954</w:t>
      </w:r>
    </w:p>
    <w:p w14:paraId="0A32CFE7" w14:textId="034349AC" w:rsidR="00055EB6" w:rsidRPr="005D60D8" w:rsidRDefault="00055EB6" w:rsidP="00055EB6">
      <w:pPr>
        <w:pStyle w:val="CRCoverPage"/>
        <w:outlineLvl w:val="0"/>
        <w:rPr>
          <w:b/>
          <w:noProof/>
          <w:sz w:val="24"/>
          <w:szCs w:val="24"/>
        </w:rPr>
      </w:pPr>
      <w:r w:rsidRPr="005D60D8">
        <w:rPr>
          <w:b/>
          <w:noProof/>
          <w:sz w:val="24"/>
          <w:szCs w:val="24"/>
        </w:rPr>
        <w:t>Electronic, 1</w:t>
      </w:r>
      <w:r w:rsidR="00D6323F">
        <w:rPr>
          <w:b/>
          <w:noProof/>
          <w:sz w:val="24"/>
          <w:szCs w:val="24"/>
        </w:rPr>
        <w:t>4</w:t>
      </w:r>
      <w:r w:rsidRPr="005D60D8">
        <w:rPr>
          <w:b/>
          <w:noProof/>
          <w:sz w:val="24"/>
          <w:szCs w:val="24"/>
        </w:rPr>
        <w:t xml:space="preserve"> – 1</w:t>
      </w:r>
      <w:r w:rsidR="00D6323F">
        <w:rPr>
          <w:b/>
          <w:noProof/>
          <w:sz w:val="24"/>
          <w:szCs w:val="24"/>
        </w:rPr>
        <w:t>8</w:t>
      </w:r>
      <w:r w:rsidRPr="005D60D8">
        <w:rPr>
          <w:b/>
          <w:noProof/>
          <w:sz w:val="24"/>
          <w:szCs w:val="24"/>
        </w:rPr>
        <w:t xml:space="preserve"> </w:t>
      </w:r>
      <w:r w:rsidR="00D6323F">
        <w:rPr>
          <w:b/>
          <w:noProof/>
          <w:sz w:val="24"/>
          <w:szCs w:val="24"/>
        </w:rPr>
        <w:t>November</w:t>
      </w:r>
      <w:r w:rsidRPr="005D60D8">
        <w:rPr>
          <w:b/>
          <w:noProof/>
          <w:sz w:val="24"/>
          <w:szCs w:val="24"/>
        </w:rPr>
        <w:t>, 2022</w:t>
      </w:r>
    </w:p>
    <w:p w14:paraId="3E6673B6" w14:textId="77777777" w:rsidR="00E90E49" w:rsidRPr="00CE0424" w:rsidRDefault="00E90E49" w:rsidP="00357380">
      <w:pPr>
        <w:pStyle w:val="3GPPHeader"/>
      </w:pPr>
    </w:p>
    <w:p w14:paraId="7B71D8B7" w14:textId="0F70BF2F" w:rsidR="00E90E49" w:rsidRPr="00AC7932" w:rsidRDefault="00E90E49" w:rsidP="00311702">
      <w:pPr>
        <w:pStyle w:val="3GPPHeader"/>
        <w:rPr>
          <w:sz w:val="22"/>
          <w:szCs w:val="22"/>
          <w:lang w:val="en-US"/>
        </w:rPr>
      </w:pPr>
      <w:r w:rsidRPr="00AC7932">
        <w:rPr>
          <w:sz w:val="22"/>
          <w:szCs w:val="22"/>
          <w:lang w:val="en-US"/>
        </w:rPr>
        <w:t>Agenda Item:</w:t>
      </w:r>
      <w:r w:rsidRPr="00AC7932">
        <w:rPr>
          <w:sz w:val="22"/>
          <w:szCs w:val="22"/>
          <w:lang w:val="en-US"/>
        </w:rPr>
        <w:tab/>
      </w:r>
      <w:r w:rsidR="00793928">
        <w:rPr>
          <w:sz w:val="22"/>
          <w:szCs w:val="22"/>
          <w:lang w:val="en-US"/>
        </w:rPr>
        <w:t>8.6.</w:t>
      </w:r>
      <w:r w:rsidR="002A3DC2">
        <w:rPr>
          <w:sz w:val="22"/>
          <w:szCs w:val="22"/>
          <w:lang w:val="en-US"/>
        </w:rPr>
        <w:t>2.1</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0F555541" w:rsidR="00E90E49" w:rsidRPr="00CE0424" w:rsidRDefault="003D3C45" w:rsidP="00311702">
      <w:pPr>
        <w:pStyle w:val="3GPPHeader"/>
        <w:rPr>
          <w:sz w:val="22"/>
          <w:szCs w:val="22"/>
        </w:rPr>
      </w:pPr>
      <w:r>
        <w:rPr>
          <w:sz w:val="22"/>
          <w:szCs w:val="22"/>
        </w:rPr>
        <w:t>Title:</w:t>
      </w:r>
      <w:r w:rsidR="00E90E49" w:rsidRPr="00CE0424">
        <w:rPr>
          <w:sz w:val="22"/>
          <w:szCs w:val="22"/>
        </w:rPr>
        <w:tab/>
      </w:r>
      <w:r w:rsidR="002A3DC2">
        <w:rPr>
          <w:sz w:val="22"/>
          <w:szCs w:val="22"/>
        </w:rPr>
        <w:t>R18 IoT NTN performance enhancement</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A56D7">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4776E670" w14:textId="22F4D3EB" w:rsidR="00713192" w:rsidRPr="00356708" w:rsidRDefault="00D956C3" w:rsidP="00B04151">
      <w:pPr>
        <w:rPr>
          <w:rFonts w:ascii="Arial" w:hAnsi="Arial" w:cs="Arial"/>
        </w:rPr>
      </w:pPr>
      <w:r w:rsidRPr="00356708">
        <w:rPr>
          <w:rFonts w:ascii="Arial" w:hAnsi="Arial" w:cs="Arial"/>
        </w:rPr>
        <w:t>The w</w:t>
      </w:r>
      <w:r w:rsidR="00FA3AD7" w:rsidRPr="00356708">
        <w:rPr>
          <w:rFonts w:ascii="Arial" w:hAnsi="Arial" w:cs="Arial"/>
        </w:rPr>
        <w:t xml:space="preserve">ork item for </w:t>
      </w:r>
      <w:r w:rsidR="004E3FF1" w:rsidRPr="00356708">
        <w:rPr>
          <w:rFonts w:ascii="Arial" w:hAnsi="Arial" w:cs="Arial"/>
        </w:rPr>
        <w:t xml:space="preserve">IoT </w:t>
      </w:r>
      <w:r w:rsidR="00FA3AD7" w:rsidRPr="00356708">
        <w:rPr>
          <w:rFonts w:ascii="Arial" w:hAnsi="Arial" w:cs="Arial"/>
        </w:rPr>
        <w:t xml:space="preserve">NTN enhancements in Rel-18 [1] </w:t>
      </w:r>
      <w:r w:rsidRPr="00356708">
        <w:rPr>
          <w:rFonts w:ascii="Arial" w:hAnsi="Arial" w:cs="Arial"/>
        </w:rPr>
        <w:t xml:space="preserve">includes an objective on </w:t>
      </w:r>
      <w:r w:rsidR="002A3DC2" w:rsidRPr="00356708">
        <w:rPr>
          <w:rFonts w:ascii="Arial" w:hAnsi="Arial" w:cs="Arial"/>
        </w:rPr>
        <w:t>performance enhancements</w:t>
      </w:r>
      <w:r w:rsidR="005B5587" w:rsidRPr="00356708">
        <w:rPr>
          <w:rFonts w:ascii="Arial" w:hAnsi="Arial" w:cs="Arial"/>
        </w:rPr>
        <w:t>:</w:t>
      </w:r>
    </w:p>
    <w:p w14:paraId="3CE7DC5B" w14:textId="77777777" w:rsidR="005B5587" w:rsidRPr="007D682A" w:rsidRDefault="005B5587" w:rsidP="00356708">
      <w:pPr>
        <w:rPr>
          <w:rFonts w:ascii="Arial" w:hAnsi="Arial" w:cs="Arial"/>
        </w:rPr>
      </w:pPr>
    </w:p>
    <w:p w14:paraId="6EDC3C05" w14:textId="77777777" w:rsidR="002A3DC2" w:rsidRDefault="002A3DC2" w:rsidP="002A3DC2">
      <w:pPr>
        <w:ind w:left="567"/>
        <w:rPr>
          <w:lang w:eastAsia="zh-TW"/>
        </w:rPr>
      </w:pPr>
      <w:r>
        <w:t>4.1.1</w:t>
      </w:r>
      <w:r>
        <w:tab/>
        <w:t>IoT-NTN Performance Enhancements in Rel-18 to address remaining issues from Rel-17</w:t>
      </w:r>
    </w:p>
    <w:p w14:paraId="11F773E5" w14:textId="77777777" w:rsidR="002A3DC2" w:rsidRDefault="002A3DC2" w:rsidP="002A3DC2">
      <w:pPr>
        <w:ind w:left="567"/>
      </w:pPr>
      <w:r>
        <w:t>This work considers Rel-17 IoT-NTN as baseline as well as Rel-17 NR-NTN outcome and the further IoT-NTN performance enhancements objectives are listed below:</w:t>
      </w:r>
    </w:p>
    <w:p w14:paraId="5D25D734" w14:textId="77777777" w:rsidR="002A3DC2" w:rsidRDefault="002A3DC2" w:rsidP="002A3DC2">
      <w:pPr>
        <w:pStyle w:val="B1"/>
        <w:ind w:left="1135"/>
      </w:pPr>
      <w:r>
        <w:t>-</w:t>
      </w:r>
      <w:r>
        <w:tab/>
        <w:t>Disabling of HARQ feedback to mitigate impact of HARQ stalling on UE data rates [RAN1,RAN2]</w:t>
      </w:r>
    </w:p>
    <w:p w14:paraId="0FBDDCE1" w14:textId="77777777" w:rsidR="002A3DC2" w:rsidRDefault="002A3DC2" w:rsidP="002A3DC2">
      <w:pPr>
        <w:pStyle w:val="B1"/>
        <w:ind w:left="1135"/>
      </w:pPr>
      <w:r>
        <w:t>-</w:t>
      </w:r>
      <w:r>
        <w:tab/>
        <w:t>Study and specify, if needed, improved GNSS operations for a new position fix for UE pre-compensation during long connection times and for reduced power consumption. Simultaneous GNSS and NTN NB-IoT/eMTC operation is not assumed</w:t>
      </w:r>
      <w:r>
        <w:rPr>
          <w:sz w:val="22"/>
          <w:szCs w:val="22"/>
        </w:rPr>
        <w:t>.</w:t>
      </w:r>
      <w:r>
        <w:t xml:space="preserve"> [RAN1]</w:t>
      </w:r>
    </w:p>
    <w:p w14:paraId="01CF684D" w14:textId="77777777" w:rsidR="002A3DC2" w:rsidRDefault="002A3DC2" w:rsidP="002A3DC2">
      <w:pPr>
        <w:pStyle w:val="B1"/>
        <w:numPr>
          <w:ilvl w:val="0"/>
          <w:numId w:val="32"/>
        </w:numPr>
        <w:ind w:left="1644" w:hanging="357"/>
        <w:jc w:val="left"/>
        <w:textAlignment w:val="auto"/>
      </w:pPr>
      <w:r>
        <w:rPr>
          <w:i/>
        </w:rPr>
        <w:t>NOTE: The need for RAN4 Core requirements for this objective will be identified after the conclusion on the need for improvements.</w:t>
      </w:r>
    </w:p>
    <w:p w14:paraId="5BC2BE10" w14:textId="46F93932" w:rsidR="00713192" w:rsidRPr="00356708" w:rsidRDefault="002A3DC2" w:rsidP="00B04151">
      <w:pPr>
        <w:rPr>
          <w:rFonts w:ascii="Arial" w:hAnsi="Arial" w:cs="Arial"/>
        </w:rPr>
      </w:pPr>
      <w:r w:rsidRPr="00356708">
        <w:rPr>
          <w:rFonts w:ascii="Arial" w:hAnsi="Arial" w:cs="Arial"/>
        </w:rPr>
        <w:t>Further at RAN2#119 the following was agreed:</w:t>
      </w:r>
    </w:p>
    <w:p w14:paraId="3671AEF8" w14:textId="77777777" w:rsidR="002A3DC2" w:rsidRDefault="002A3DC2" w:rsidP="002A3DC2">
      <w:pPr>
        <w:pStyle w:val="Doc-text2"/>
        <w:pBdr>
          <w:top w:val="single" w:sz="4" w:space="1" w:color="auto"/>
          <w:left w:val="single" w:sz="4" w:space="4" w:color="auto"/>
          <w:bottom w:val="single" w:sz="4" w:space="1" w:color="auto"/>
          <w:right w:val="single" w:sz="4" w:space="4" w:color="auto"/>
        </w:pBdr>
      </w:pPr>
      <w:r>
        <w:t>Agreements:</w:t>
      </w:r>
    </w:p>
    <w:p w14:paraId="42521DE9" w14:textId="77777777" w:rsidR="002A3DC2" w:rsidRDefault="002A3DC2" w:rsidP="002A3DC2">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r>
        <w:t>Disabling DL HARQ feedback is supported for NB-IoT and eMTC NTN. FFS on UE capability</w:t>
      </w:r>
    </w:p>
    <w:p w14:paraId="635247DD" w14:textId="77777777" w:rsidR="002A3DC2" w:rsidRDefault="002A3DC2" w:rsidP="002A3DC2">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UL HARQ operation, introduce two HARQ modes, i.e., HARQ mode A and HARQ mode B in IoT NTN (both NB-IoT and eMTC NTN), similarly to NR NTN</w:t>
      </w:r>
    </w:p>
    <w:p w14:paraId="669BC96B" w14:textId="77777777" w:rsidR="002A3DC2" w:rsidRDefault="002A3DC2" w:rsidP="002A3DC2">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From RAN2 perspective, at least for </w:t>
      </w:r>
      <w:r w:rsidRPr="000B685C">
        <w:t xml:space="preserve">eMTC, enabling/disabling HARQ feedback can be configured per DL HARQ process </w:t>
      </w:r>
      <w:r>
        <w:t>at least via UE specific RRC signalling. FFS for NB-IoT (and especially for CP solution for NB-IOT).</w:t>
      </w:r>
    </w:p>
    <w:p w14:paraId="7E10C2F3" w14:textId="77777777" w:rsidR="008B3DB2" w:rsidRPr="00356708" w:rsidRDefault="008B3DB2" w:rsidP="00B04151">
      <w:pPr>
        <w:rPr>
          <w:rFonts w:ascii="Arial" w:hAnsi="Arial" w:cs="Arial"/>
        </w:rPr>
      </w:pPr>
    </w:p>
    <w:p w14:paraId="68863592" w14:textId="48F0993A" w:rsidR="002A3DC2" w:rsidRPr="00356708" w:rsidRDefault="008B3DB2" w:rsidP="00B04151">
      <w:pPr>
        <w:rPr>
          <w:rFonts w:ascii="Arial" w:hAnsi="Arial" w:cs="Arial"/>
        </w:rPr>
      </w:pPr>
      <w:r w:rsidRPr="00356708">
        <w:rPr>
          <w:rFonts w:ascii="Arial" w:hAnsi="Arial" w:cs="Arial"/>
        </w:rPr>
        <w:t>And at RAN2#119bis, the following was agreed:</w:t>
      </w:r>
    </w:p>
    <w:p w14:paraId="0231D3C4" w14:textId="77777777" w:rsidR="008B3DB2" w:rsidRDefault="008B3DB2" w:rsidP="008B3DB2">
      <w:pPr>
        <w:pStyle w:val="Doc-text2"/>
        <w:pBdr>
          <w:top w:val="single" w:sz="4" w:space="1" w:color="auto"/>
          <w:left w:val="single" w:sz="4" w:space="4" w:color="auto"/>
          <w:bottom w:val="single" w:sz="4" w:space="1" w:color="auto"/>
          <w:right w:val="single" w:sz="4" w:space="4" w:color="auto"/>
        </w:pBdr>
      </w:pPr>
      <w:r>
        <w:t>Agreements:</w:t>
      </w:r>
    </w:p>
    <w:p w14:paraId="4C95C631" w14:textId="77777777" w:rsidR="008B3DB2" w:rsidRDefault="008B3DB2" w:rsidP="008B3DB2">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C372A">
        <w:t>For NB-IoT, enabling/disabling HARQ feedback can be configured per DL HARQ process at least via UE specific RRC signaling (e.g. RRCConnectionSetup).</w:t>
      </w:r>
      <w:r>
        <w:t xml:space="preserve"> This does not preclude other options (e.g. DCI-based). We can also revert this decision if requested by RAN1.</w:t>
      </w:r>
    </w:p>
    <w:p w14:paraId="28E1244A" w14:textId="77777777" w:rsidR="008B3DB2" w:rsidRDefault="008B3DB2" w:rsidP="008B3DB2">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492AAF">
        <w:t>Disabling HARQ feedback is supported for NB-IoT with single HARQ process, and it is up to eNB implementation whether to disable the HARQ feedback</w:t>
      </w:r>
    </w:p>
    <w:p w14:paraId="6039F73C" w14:textId="77777777" w:rsidR="008B3DB2" w:rsidRDefault="008B3DB2" w:rsidP="008B3DB2">
      <w:pPr>
        <w:pStyle w:val="Doc-text2"/>
        <w:pBdr>
          <w:top w:val="single" w:sz="4" w:space="1" w:color="auto"/>
          <w:left w:val="single" w:sz="4" w:space="4" w:color="auto"/>
          <w:bottom w:val="single" w:sz="4" w:space="1" w:color="auto"/>
          <w:right w:val="single" w:sz="4" w:space="4" w:color="auto"/>
        </w:pBdr>
        <w:ind w:left="1259" w:firstLine="0"/>
      </w:pPr>
      <w:r>
        <w:t xml:space="preserve">Working Assumption: </w:t>
      </w:r>
    </w:p>
    <w:p w14:paraId="2ACE9629" w14:textId="77777777" w:rsidR="008B3DB2" w:rsidRDefault="008B3DB2" w:rsidP="008B3DB2">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t>Blind retransmission can be used in IoT NTN when HARQ feedback is disabled and when HARQ mode B is used (RAN2 assumes there is no spec change for this)</w:t>
      </w:r>
    </w:p>
    <w:p w14:paraId="5BEDAFEF" w14:textId="5C638635" w:rsidR="008B3DB2" w:rsidRPr="00356708" w:rsidRDefault="008B3DB2" w:rsidP="00B04151">
      <w:pPr>
        <w:rPr>
          <w:rFonts w:ascii="Arial" w:hAnsi="Arial" w:cs="Arial"/>
        </w:rPr>
      </w:pPr>
    </w:p>
    <w:p w14:paraId="72A0B193" w14:textId="77777777" w:rsidR="008B3DB2" w:rsidRDefault="008B3DB2" w:rsidP="008B3DB2">
      <w:pPr>
        <w:pStyle w:val="Doc-text2"/>
        <w:pBdr>
          <w:top w:val="single" w:sz="4" w:space="1" w:color="auto"/>
          <w:left w:val="single" w:sz="4" w:space="4" w:color="auto"/>
          <w:bottom w:val="single" w:sz="4" w:space="1" w:color="auto"/>
          <w:right w:val="single" w:sz="4" w:space="4" w:color="auto"/>
        </w:pBdr>
      </w:pPr>
      <w:r>
        <w:t>Agreements:</w:t>
      </w:r>
    </w:p>
    <w:p w14:paraId="19C93630" w14:textId="77777777" w:rsidR="008B3DB2" w:rsidRDefault="008B3DB2" w:rsidP="008B3DB2">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A431B">
        <w:lastRenderedPageBreak/>
        <w:t xml:space="preserve">HARQ </w:t>
      </w:r>
      <w:r>
        <w:t>mode A/B for uplink transmission may</w:t>
      </w:r>
      <w:r w:rsidRPr="00AA431B">
        <w:t xml:space="preserve"> be configured per UL HARQ process</w:t>
      </w:r>
      <w:r>
        <w:t xml:space="preserve"> at least via UE specific RRC signalling for eMTC and NB-IOT NTN. We can also revert this decision if requested by RAN1</w:t>
      </w:r>
    </w:p>
    <w:p w14:paraId="7120817B" w14:textId="776C7CFC" w:rsidR="008B3DB2" w:rsidRPr="00356708" w:rsidRDefault="008B3DB2" w:rsidP="00B04151">
      <w:pPr>
        <w:rPr>
          <w:rFonts w:ascii="Arial" w:hAnsi="Arial" w:cs="Arial"/>
        </w:rPr>
      </w:pPr>
    </w:p>
    <w:p w14:paraId="62EFE565" w14:textId="77777777" w:rsidR="008B3DB2" w:rsidRDefault="008B3DB2" w:rsidP="008B3DB2">
      <w:pPr>
        <w:pStyle w:val="Doc-text2"/>
        <w:pBdr>
          <w:top w:val="single" w:sz="4" w:space="1" w:color="auto"/>
          <w:left w:val="single" w:sz="4" w:space="4" w:color="auto"/>
          <w:bottom w:val="single" w:sz="4" w:space="1" w:color="auto"/>
          <w:right w:val="single" w:sz="4" w:space="4" w:color="auto"/>
        </w:pBdr>
        <w:ind w:left="1259" w:firstLine="0"/>
      </w:pPr>
      <w:r>
        <w:t>Agreements:</w:t>
      </w:r>
    </w:p>
    <w:p w14:paraId="2840413D" w14:textId="77777777" w:rsidR="008B3DB2" w:rsidRDefault="008B3DB2" w:rsidP="008B3DB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agree to take R17 NR NTN DRX solution as baseline for IoT NTN, e.g. for HARQ process with DL HARQ feedback disabled, the UE will not start the corresponding DL HARQ RTT timer.</w:t>
      </w:r>
    </w:p>
    <w:p w14:paraId="44138A11" w14:textId="77777777" w:rsidR="008B3DB2" w:rsidRDefault="008B3DB2" w:rsidP="008B3DB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A7064">
        <w:t>For NB-IoT NTN with single HARQ process when the HARQ feedback is disabled, the UE will start/restart drx-inactivity timer in the subframe containing the last repetition of th</w:t>
      </w:r>
      <w:r>
        <w:t>e corresponding PDSCH reception (can still check whether the alternative to set the HARQ RTT timer to 0 also works)</w:t>
      </w:r>
    </w:p>
    <w:p w14:paraId="3CA47DE6" w14:textId="77777777" w:rsidR="008B3DB2" w:rsidRDefault="008B3DB2" w:rsidP="008B3DB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agree to take R17 NR NTN DRX solution as baseline for IoT NTN, e.g. for HARQ process in HARQ mode B, the UE will not start the corresponding UL HARQ RTT timer.</w:t>
      </w:r>
    </w:p>
    <w:p w14:paraId="0D7EC496" w14:textId="77777777" w:rsidR="008B3DB2" w:rsidRDefault="008B3DB2" w:rsidP="008B3DB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A7064">
        <w:t>For NB-IoT NTN with single HARQ process in HARQ mode B, the UE will start/restart drx-inactivity timer in the subframe containing the last repetition of the c</w:t>
      </w:r>
      <w:r>
        <w:t>orresponding PUSCH transmission (can still check whether other alternatives also work)</w:t>
      </w:r>
    </w:p>
    <w:p w14:paraId="534874C6" w14:textId="77777777" w:rsidR="008B3DB2" w:rsidRDefault="008B3DB2" w:rsidP="008B3DB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solutions of LCP restriction on allowed HARQ mode in NR NTN can be reused for eMTC NTN.</w:t>
      </w:r>
    </w:p>
    <w:p w14:paraId="1803C02B" w14:textId="77777777" w:rsidR="008B3DB2" w:rsidRPr="00356708" w:rsidRDefault="008B3DB2" w:rsidP="00B04151">
      <w:pPr>
        <w:rPr>
          <w:rFonts w:ascii="Arial" w:hAnsi="Arial" w:cs="Arial"/>
        </w:rPr>
      </w:pPr>
    </w:p>
    <w:p w14:paraId="257C08D4" w14:textId="0FCB309E" w:rsidR="00477768" w:rsidRPr="00356708" w:rsidRDefault="00FA3AD7" w:rsidP="00B04151">
      <w:pPr>
        <w:rPr>
          <w:rFonts w:ascii="Arial" w:hAnsi="Arial" w:cs="Arial"/>
        </w:rPr>
      </w:pPr>
      <w:r w:rsidRPr="00356708">
        <w:rPr>
          <w:rFonts w:ascii="Arial" w:hAnsi="Arial" w:cs="Arial"/>
        </w:rPr>
        <w:t xml:space="preserve">In this paper we </w:t>
      </w:r>
      <w:r w:rsidR="002A3DC2" w:rsidRPr="00356708">
        <w:rPr>
          <w:rFonts w:ascii="Arial" w:hAnsi="Arial" w:cs="Arial"/>
        </w:rPr>
        <w:t>discuss our view on performance</w:t>
      </w:r>
      <w:r w:rsidR="00611564" w:rsidRPr="00356708">
        <w:rPr>
          <w:rFonts w:ascii="Arial" w:hAnsi="Arial" w:cs="Arial"/>
        </w:rPr>
        <w:t xml:space="preserve"> enhancements</w:t>
      </w:r>
      <w:r w:rsidRPr="00356708">
        <w:rPr>
          <w:rFonts w:ascii="Arial" w:hAnsi="Arial" w:cs="Arial"/>
        </w:rPr>
        <w:t>.</w:t>
      </w:r>
      <w:r w:rsidR="00611564" w:rsidRPr="00356708">
        <w:rPr>
          <w:rFonts w:ascii="Arial" w:hAnsi="Arial" w:cs="Arial"/>
        </w:rPr>
        <w:t xml:space="preserve"> </w:t>
      </w:r>
    </w:p>
    <w:p w14:paraId="226B631E" w14:textId="510CD8D1" w:rsidR="004000E8" w:rsidRDefault="00230D18" w:rsidP="00CE0424">
      <w:pPr>
        <w:pStyle w:val="Heading1"/>
      </w:pPr>
      <w:bookmarkStart w:id="1" w:name="_Ref178064866"/>
      <w:r>
        <w:t>2</w:t>
      </w:r>
      <w:r>
        <w:tab/>
      </w:r>
      <w:r w:rsidR="004000E8" w:rsidRPr="00CE0424">
        <w:t>Discussion</w:t>
      </w:r>
      <w:bookmarkEnd w:id="1"/>
    </w:p>
    <w:p w14:paraId="52A35FA7" w14:textId="10D3E86D" w:rsidR="005D0DE7" w:rsidRDefault="005D0DE7" w:rsidP="005D0DE7">
      <w:pPr>
        <w:pStyle w:val="Heading2"/>
      </w:pPr>
      <w:r>
        <w:t>2.1</w:t>
      </w:r>
      <w:r>
        <w:tab/>
      </w:r>
      <w:r w:rsidR="002A3DC2">
        <w:t>Disabling HARQ feedback</w:t>
      </w:r>
    </w:p>
    <w:p w14:paraId="72739A1C" w14:textId="207FDECA" w:rsidR="00611564" w:rsidRPr="00356708" w:rsidRDefault="00086216" w:rsidP="00C770F6">
      <w:pPr>
        <w:rPr>
          <w:rFonts w:ascii="Arial" w:hAnsi="Arial" w:cs="Arial"/>
        </w:rPr>
      </w:pPr>
      <w:r w:rsidRPr="00356708">
        <w:rPr>
          <w:rFonts w:ascii="Arial" w:hAnsi="Arial" w:cs="Arial"/>
        </w:rPr>
        <w:t xml:space="preserve">The purpose of disabling HARQ feedback in IoT NTN is to provide a dynamic mechanism to adapt to the current radio conditions. </w:t>
      </w:r>
      <w:r w:rsidR="00B308BF" w:rsidRPr="00356708">
        <w:rPr>
          <w:rFonts w:ascii="Arial" w:hAnsi="Arial" w:cs="Arial"/>
        </w:rPr>
        <w:t xml:space="preserve">As there are only maximum two HARQ processes for NB-IoT UEs, there may be a need to always keep one HARQ process with DL HARQ feedback and one without and then there is no need for flexibility of enabling/disabling DL HARQ feedback. </w:t>
      </w:r>
      <w:r w:rsidR="000E7F54" w:rsidRPr="00356708">
        <w:rPr>
          <w:rFonts w:ascii="Arial" w:hAnsi="Arial" w:cs="Arial"/>
        </w:rPr>
        <w:t>However</w:t>
      </w:r>
      <w:r w:rsidRPr="00356708">
        <w:rPr>
          <w:rFonts w:ascii="Arial" w:hAnsi="Arial" w:cs="Arial"/>
        </w:rPr>
        <w:t>,</w:t>
      </w:r>
      <w:r w:rsidR="000E7F54" w:rsidRPr="00356708">
        <w:rPr>
          <w:rFonts w:ascii="Arial" w:hAnsi="Arial" w:cs="Arial"/>
        </w:rPr>
        <w:t xml:space="preserve"> for</w:t>
      </w:r>
      <w:r w:rsidRPr="00356708">
        <w:rPr>
          <w:rFonts w:ascii="Arial" w:hAnsi="Arial" w:cs="Arial"/>
        </w:rPr>
        <w:t xml:space="preserve"> </w:t>
      </w:r>
      <w:r w:rsidR="00611564" w:rsidRPr="00356708">
        <w:rPr>
          <w:rFonts w:ascii="Arial" w:hAnsi="Arial" w:cs="Arial"/>
        </w:rPr>
        <w:t xml:space="preserve">NB-IoT with DoNAS </w:t>
      </w:r>
      <w:r w:rsidR="000E7F54" w:rsidRPr="00356708">
        <w:rPr>
          <w:rFonts w:ascii="Arial" w:hAnsi="Arial" w:cs="Arial"/>
        </w:rPr>
        <w:t xml:space="preserve">there is </w:t>
      </w:r>
      <w:r w:rsidR="00611564" w:rsidRPr="00356708">
        <w:rPr>
          <w:rFonts w:ascii="Arial" w:hAnsi="Arial" w:cs="Arial"/>
        </w:rPr>
        <w:t xml:space="preserve">only one opportunity for RRC reconfiguration (in Msg4), </w:t>
      </w:r>
      <w:r w:rsidR="000E7F54" w:rsidRPr="00356708">
        <w:rPr>
          <w:rFonts w:ascii="Arial" w:hAnsi="Arial" w:cs="Arial"/>
        </w:rPr>
        <w:t xml:space="preserve">in this case </w:t>
      </w:r>
      <w:r w:rsidR="00611564" w:rsidRPr="00356708">
        <w:rPr>
          <w:rFonts w:ascii="Arial" w:hAnsi="Arial" w:cs="Arial"/>
        </w:rPr>
        <w:t xml:space="preserve">the signalling using DCI is more </w:t>
      </w:r>
      <w:r w:rsidR="00356708" w:rsidRPr="00356708">
        <w:rPr>
          <w:rFonts w:ascii="Arial" w:hAnsi="Arial" w:cs="Arial"/>
        </w:rPr>
        <w:t xml:space="preserve">desirable as without it there is no </w:t>
      </w:r>
      <w:r w:rsidR="00611564" w:rsidRPr="00356708">
        <w:rPr>
          <w:rFonts w:ascii="Arial" w:hAnsi="Arial" w:cs="Arial"/>
        </w:rPr>
        <w:t>flexib</w:t>
      </w:r>
      <w:r w:rsidR="00356708" w:rsidRPr="00356708">
        <w:rPr>
          <w:rFonts w:ascii="Arial" w:hAnsi="Arial" w:cs="Arial"/>
        </w:rPr>
        <w:t>ility at all</w:t>
      </w:r>
      <w:r w:rsidR="000958C3" w:rsidRPr="00356708">
        <w:rPr>
          <w:rFonts w:ascii="Arial" w:hAnsi="Arial" w:cs="Arial"/>
        </w:rPr>
        <w:t xml:space="preserve">. </w:t>
      </w:r>
    </w:p>
    <w:p w14:paraId="4146C555" w14:textId="2B7C4CCF" w:rsidR="000958C3" w:rsidRPr="00356708" w:rsidRDefault="000958C3" w:rsidP="00C770F6">
      <w:pPr>
        <w:rPr>
          <w:rFonts w:ascii="Arial" w:hAnsi="Arial" w:cs="Arial"/>
        </w:rPr>
      </w:pPr>
      <w:r w:rsidRPr="00356708">
        <w:rPr>
          <w:rFonts w:ascii="Arial" w:hAnsi="Arial" w:cs="Arial"/>
        </w:rPr>
        <w:t>For eMTC, a fast flexible DCI controlled enabling/disabling of HARQ feedback can also be beneficial, but with up to 14 DL HARQ processes four of them can be configured without HARQ feedback (giving continuous DL transmissions</w:t>
      </w:r>
      <w:r w:rsidR="00B308BF" w:rsidRPr="00356708">
        <w:rPr>
          <w:rFonts w:ascii="Arial" w:hAnsi="Arial" w:cs="Arial"/>
        </w:rPr>
        <w:t xml:space="preserve"> without HARQ feedback</w:t>
      </w:r>
      <w:r w:rsidRPr="00356708">
        <w:rPr>
          <w:rFonts w:ascii="Arial" w:hAnsi="Arial" w:cs="Arial"/>
        </w:rPr>
        <w:t xml:space="preserve">) and </w:t>
      </w:r>
      <w:r w:rsidR="00356708" w:rsidRPr="00356708">
        <w:rPr>
          <w:rFonts w:ascii="Arial" w:hAnsi="Arial" w:cs="Arial"/>
        </w:rPr>
        <w:t>then we</w:t>
      </w:r>
      <w:r w:rsidRPr="00356708">
        <w:rPr>
          <w:rFonts w:ascii="Arial" w:hAnsi="Arial" w:cs="Arial"/>
        </w:rPr>
        <w:t xml:space="preserve"> have 10 HARQ processes with HARQ feedback. </w:t>
      </w:r>
      <w:r w:rsidR="00356708" w:rsidRPr="00356708">
        <w:rPr>
          <w:rFonts w:ascii="Arial" w:hAnsi="Arial" w:cs="Arial"/>
        </w:rPr>
        <w:t xml:space="preserve">Thus for eMTC, flexibility of configurability of enable/disable HARQ feedback is desirable but not necessary. </w:t>
      </w:r>
    </w:p>
    <w:p w14:paraId="567ABC6A" w14:textId="088DF29F" w:rsidR="00611564" w:rsidRPr="00356708" w:rsidRDefault="000958C3" w:rsidP="000958C3">
      <w:pPr>
        <w:rPr>
          <w:rFonts w:ascii="Arial" w:hAnsi="Arial" w:cs="Arial"/>
        </w:rPr>
      </w:pPr>
      <w:r w:rsidRPr="00356708">
        <w:rPr>
          <w:rFonts w:ascii="Arial" w:hAnsi="Arial" w:cs="Arial"/>
        </w:rPr>
        <w:t xml:space="preserve">However, we </w:t>
      </w:r>
      <w:r w:rsidR="00611564" w:rsidRPr="00356708">
        <w:rPr>
          <w:rFonts w:ascii="Arial" w:hAnsi="Arial" w:cs="Arial"/>
        </w:rPr>
        <w:t xml:space="preserve">see a </w:t>
      </w:r>
      <w:r w:rsidR="00356708" w:rsidRPr="00356708">
        <w:rPr>
          <w:rFonts w:ascii="Arial" w:hAnsi="Arial" w:cs="Arial"/>
        </w:rPr>
        <w:t xml:space="preserve">huge </w:t>
      </w:r>
      <w:r w:rsidR="00611564" w:rsidRPr="00356708">
        <w:rPr>
          <w:rFonts w:ascii="Arial" w:hAnsi="Arial" w:cs="Arial"/>
        </w:rPr>
        <w:t xml:space="preserve">benefit in there being only one solution for signalling </w:t>
      </w:r>
      <w:r w:rsidR="00356708" w:rsidRPr="00356708">
        <w:rPr>
          <w:rFonts w:ascii="Arial" w:hAnsi="Arial" w:cs="Arial"/>
        </w:rPr>
        <w:t xml:space="preserve">to </w:t>
      </w:r>
      <w:r w:rsidR="00611564" w:rsidRPr="00356708">
        <w:rPr>
          <w:rFonts w:ascii="Arial" w:hAnsi="Arial" w:cs="Arial"/>
        </w:rPr>
        <w:t>enable/disable DL HARQ feedback</w:t>
      </w:r>
      <w:r w:rsidRPr="00356708">
        <w:rPr>
          <w:rFonts w:ascii="Arial" w:hAnsi="Arial" w:cs="Arial"/>
        </w:rPr>
        <w:t xml:space="preserve">. </w:t>
      </w:r>
    </w:p>
    <w:p w14:paraId="493D70A5" w14:textId="10104F68" w:rsidR="00B308BF" w:rsidRDefault="00356708" w:rsidP="00B308BF">
      <w:pPr>
        <w:pStyle w:val="Proposal"/>
      </w:pPr>
      <w:bookmarkStart w:id="2" w:name="_Toc118447163"/>
      <w:r>
        <w:t xml:space="preserve">Select only </w:t>
      </w:r>
      <w:r w:rsidR="00B308BF">
        <w:t xml:space="preserve">one signalling solution to enable/disable DL HARQ feedback </w:t>
      </w:r>
      <w:r w:rsidR="007F7E37">
        <w:t>for eMTC and NB-IoT</w:t>
      </w:r>
      <w:r w:rsidR="00B308BF">
        <w:t>.</w:t>
      </w:r>
      <w:bookmarkEnd w:id="2"/>
    </w:p>
    <w:p w14:paraId="6C139CDC" w14:textId="08CBF4D3" w:rsidR="00B308BF" w:rsidRPr="00356708" w:rsidRDefault="00B308BF" w:rsidP="000958C3">
      <w:pPr>
        <w:rPr>
          <w:rFonts w:ascii="Arial" w:hAnsi="Arial" w:cs="Arial"/>
        </w:rPr>
      </w:pPr>
      <w:r w:rsidRPr="00356708">
        <w:rPr>
          <w:rFonts w:ascii="Arial" w:hAnsi="Arial" w:cs="Arial"/>
        </w:rPr>
        <w:t>We note that RAN1 is also discussing the signalling solutions for enabling/disabling DL HARQ feedback</w:t>
      </w:r>
      <w:r w:rsidR="00356708" w:rsidRPr="00356708">
        <w:rPr>
          <w:rFonts w:ascii="Arial" w:hAnsi="Arial" w:cs="Arial"/>
        </w:rPr>
        <w:t>, and they have not concluded yet</w:t>
      </w:r>
      <w:r w:rsidRPr="00356708">
        <w:rPr>
          <w:rFonts w:ascii="Arial" w:hAnsi="Arial" w:cs="Arial"/>
        </w:rPr>
        <w:t xml:space="preserve">. </w:t>
      </w:r>
    </w:p>
    <w:p w14:paraId="47758CE5" w14:textId="5B336425" w:rsidR="00B308BF" w:rsidRDefault="00B308BF" w:rsidP="00B308BF">
      <w:pPr>
        <w:pStyle w:val="Observation"/>
      </w:pPr>
      <w:bookmarkStart w:id="3" w:name="_Toc118447162"/>
      <w:r>
        <w:rPr>
          <w:rFonts w:cs="Arial"/>
        </w:rPr>
        <w:t>RAN1 is discussing the signalling solutions for enabling/disabling DL HARQ feedback</w:t>
      </w:r>
      <w:r>
        <w:t>.</w:t>
      </w:r>
      <w:bookmarkEnd w:id="3"/>
    </w:p>
    <w:p w14:paraId="4E5F3E4B" w14:textId="5D95C2B8" w:rsidR="00B308BF" w:rsidRPr="00356708" w:rsidRDefault="00B308BF" w:rsidP="000958C3">
      <w:pPr>
        <w:rPr>
          <w:rFonts w:ascii="Arial" w:hAnsi="Arial" w:cs="Arial"/>
        </w:rPr>
      </w:pPr>
      <w:r w:rsidRPr="00356708">
        <w:rPr>
          <w:rFonts w:ascii="Arial" w:hAnsi="Arial" w:cs="Arial"/>
        </w:rPr>
        <w:t xml:space="preserve">Therefore, we propose: </w:t>
      </w:r>
    </w:p>
    <w:p w14:paraId="3B487CF4" w14:textId="33B69C6D" w:rsidR="000958C3" w:rsidRDefault="000958C3" w:rsidP="000958C3">
      <w:pPr>
        <w:pStyle w:val="Proposal"/>
      </w:pPr>
      <w:bookmarkStart w:id="4" w:name="_Toc118447164"/>
      <w:r>
        <w:t>If RAN1 selects a DCI based solution</w:t>
      </w:r>
      <w:r w:rsidR="00356708">
        <w:t xml:space="preserve"> to enable/disable DL HARQ feedback</w:t>
      </w:r>
      <w:r>
        <w:t>, then RAN2 shall apply only that solution for eMTC and NB-IoT.</w:t>
      </w:r>
      <w:bookmarkEnd w:id="4"/>
      <w:r>
        <w:t xml:space="preserve"> </w:t>
      </w:r>
    </w:p>
    <w:p w14:paraId="4FFB262B" w14:textId="26837BB1" w:rsidR="00356708" w:rsidRDefault="00356708" w:rsidP="000958C3">
      <w:pPr>
        <w:pStyle w:val="Proposal"/>
      </w:pPr>
      <w:bookmarkStart w:id="5" w:name="_Toc118447165"/>
      <w:r>
        <w:t>If RAN1 selects an RRC based solution to enable/disable DL HARQ feedback, then RAN2 shall apply only that solution for eMTC and NB-IoT.</w:t>
      </w:r>
      <w:bookmarkEnd w:id="5"/>
    </w:p>
    <w:p w14:paraId="25B9F0E9" w14:textId="77777777" w:rsidR="00012564" w:rsidRPr="00356708" w:rsidRDefault="00012564" w:rsidP="00C770F6">
      <w:pPr>
        <w:rPr>
          <w:rFonts w:ascii="Arial" w:hAnsi="Arial" w:cs="Arial"/>
        </w:rPr>
      </w:pPr>
    </w:p>
    <w:p w14:paraId="3BC9F222" w14:textId="0A57EFFC" w:rsidR="00CD32D3" w:rsidRDefault="00CD32D3" w:rsidP="00CD32D3">
      <w:pPr>
        <w:pStyle w:val="Heading2"/>
      </w:pPr>
      <w:r>
        <w:lastRenderedPageBreak/>
        <w:t>2.2</w:t>
      </w:r>
      <w:r>
        <w:tab/>
        <w:t>UL HARQ mode</w:t>
      </w:r>
    </w:p>
    <w:p w14:paraId="409CE3C7" w14:textId="6A3488FA" w:rsidR="00CD32D3" w:rsidRPr="00356708" w:rsidRDefault="00CD32D3" w:rsidP="00CD32D3">
      <w:pPr>
        <w:rPr>
          <w:rFonts w:ascii="Arial" w:hAnsi="Arial" w:cs="Arial"/>
        </w:rPr>
      </w:pPr>
      <w:r w:rsidRPr="00356708">
        <w:rPr>
          <w:rFonts w:ascii="Arial" w:hAnsi="Arial" w:cs="Arial"/>
        </w:rPr>
        <w:t xml:space="preserve">For the UL HARQ modes, we can copy the NR NTN solution from Rel-17. </w:t>
      </w:r>
    </w:p>
    <w:p w14:paraId="71528DD5" w14:textId="67664E3B" w:rsidR="00CD32D3" w:rsidRDefault="00CD32D3" w:rsidP="00CD32D3">
      <w:pPr>
        <w:pStyle w:val="Proposal"/>
      </w:pPr>
      <w:bookmarkStart w:id="6" w:name="_Toc118447166"/>
      <w:r>
        <w:t>For the HARQ Mode A, the UL HARQ RTT timer shall be started after the UL transmission</w:t>
      </w:r>
      <w:r w:rsidR="00356708">
        <w:t xml:space="preserve"> as in Release 17</w:t>
      </w:r>
      <w:r>
        <w:t>. For HARQ Mode B, the UL HARQ RTT Timer shall not be started after the UL transmission.</w:t>
      </w:r>
      <w:bookmarkEnd w:id="6"/>
      <w:r>
        <w:t xml:space="preserve"> </w:t>
      </w:r>
    </w:p>
    <w:p w14:paraId="159BD189" w14:textId="1C8D9422" w:rsidR="00CD32D3" w:rsidRDefault="00CD32D3" w:rsidP="00CD32D3">
      <w:pPr>
        <w:pStyle w:val="Proposal"/>
      </w:pPr>
      <w:bookmarkStart w:id="7" w:name="_Toc118447167"/>
      <w:r>
        <w:t xml:space="preserve">The </w:t>
      </w:r>
      <w:r w:rsidR="00356708">
        <w:t xml:space="preserve">same </w:t>
      </w:r>
      <w:r>
        <w:t>signalling solution selected to enable/disable DL HARQ feedback shall be selected for selecting the UL HARQ mode.</w:t>
      </w:r>
      <w:bookmarkEnd w:id="7"/>
      <w:r>
        <w:t xml:space="preserve"> </w:t>
      </w:r>
    </w:p>
    <w:p w14:paraId="7E78A002" w14:textId="5139EEB1" w:rsidR="00356708" w:rsidRDefault="00356708" w:rsidP="00CD32D3">
      <w:pPr>
        <w:pStyle w:val="Proposal"/>
      </w:pPr>
      <w:bookmarkStart w:id="8" w:name="_Toc118447168"/>
      <w:r>
        <w:t>In case RAN1 selects a DCI based solution for enabling/disabling DL HARQ feedback</w:t>
      </w:r>
      <w:r w:rsidR="007D682A">
        <w:t xml:space="preserve"> and does not address the UL HARQ mode</w:t>
      </w:r>
      <w:r>
        <w:t>, send LS to RAN1 informing them that DCI based selection of UL HARQ ,mode A and B is needed.</w:t>
      </w:r>
      <w:bookmarkEnd w:id="8"/>
      <w:r>
        <w:t xml:space="preserve"> </w:t>
      </w:r>
    </w:p>
    <w:p w14:paraId="753E4110" w14:textId="77777777" w:rsidR="00012564" w:rsidRDefault="00012564" w:rsidP="00C770F6">
      <w:pPr>
        <w:rPr>
          <w:rFonts w:ascii="Arial" w:hAnsi="Arial" w:cs="Arial"/>
        </w:rPr>
      </w:pPr>
    </w:p>
    <w:p w14:paraId="114B246A" w14:textId="1CA4F38F" w:rsidR="00012564" w:rsidRDefault="00012564" w:rsidP="00012564">
      <w:pPr>
        <w:pStyle w:val="Heading2"/>
      </w:pPr>
      <w:r>
        <w:t>2.3</w:t>
      </w:r>
      <w:r>
        <w:tab/>
      </w:r>
      <w:r w:rsidR="0054512A">
        <w:t>LCP restrictions</w:t>
      </w:r>
      <w:r w:rsidR="006A6F79">
        <w:t xml:space="preserve"> for eMTC</w:t>
      </w:r>
    </w:p>
    <w:p w14:paraId="5B27A2E3" w14:textId="27FAABD4" w:rsidR="00012564" w:rsidRDefault="0054512A" w:rsidP="00C770F6">
      <w:pPr>
        <w:rPr>
          <w:rFonts w:ascii="Arial" w:hAnsi="Arial" w:cs="Arial"/>
        </w:rPr>
      </w:pPr>
      <w:r>
        <w:rPr>
          <w:rFonts w:ascii="Arial" w:hAnsi="Arial" w:cs="Arial"/>
        </w:rPr>
        <w:t>The relevant NR NTN enhancements are:</w:t>
      </w:r>
    </w:p>
    <w:p w14:paraId="52914AF9" w14:textId="77777777" w:rsidR="0054512A" w:rsidRDefault="0054512A" w:rsidP="0054512A">
      <w:pPr>
        <w:pStyle w:val="Doc-text2"/>
        <w:pBdr>
          <w:top w:val="single" w:sz="4" w:space="1" w:color="auto"/>
          <w:left w:val="single" w:sz="4" w:space="4" w:color="auto"/>
          <w:bottom w:val="single" w:sz="4" w:space="1" w:color="auto"/>
          <w:right w:val="single" w:sz="4" w:space="4" w:color="auto"/>
        </w:pBdr>
      </w:pPr>
      <w:r>
        <w:t>3.</w:t>
      </w:r>
      <w:r>
        <w:tab/>
        <w:t>For dynamic grants, each LCH can be optionally mapped to an UL HARQ retransmission state via semi-static RRC configuration. If there is no configuration, the mapping has no effect (legacy behaviour applies).</w:t>
      </w:r>
    </w:p>
    <w:p w14:paraId="2AF61271" w14:textId="77777777" w:rsidR="0054512A" w:rsidRDefault="0054512A" w:rsidP="0054512A">
      <w:pPr>
        <w:pStyle w:val="Doc-text2"/>
        <w:pBdr>
          <w:top w:val="single" w:sz="4" w:space="1" w:color="auto"/>
          <w:left w:val="single" w:sz="4" w:space="4" w:color="auto"/>
          <w:bottom w:val="single" w:sz="4" w:space="1" w:color="auto"/>
          <w:right w:val="single" w:sz="4" w:space="4" w:color="auto"/>
        </w:pBdr>
      </w:pPr>
      <w:r>
        <w:t>4.</w:t>
      </w:r>
      <w:r>
        <w:tab/>
        <w:t>If HARQ process has not been configured with an UL HARQ retransmission state, new LCH mapping rule has no effect (i.e. UE applies legacy behaviour).</w:t>
      </w:r>
    </w:p>
    <w:p w14:paraId="3D2E46AD" w14:textId="77777777" w:rsidR="0054512A" w:rsidRDefault="0054512A" w:rsidP="0054512A">
      <w:pPr>
        <w:pStyle w:val="Doc-text2"/>
        <w:pBdr>
          <w:top w:val="single" w:sz="4" w:space="1" w:color="auto"/>
          <w:left w:val="single" w:sz="4" w:space="4" w:color="auto"/>
          <w:bottom w:val="single" w:sz="4" w:space="1" w:color="auto"/>
          <w:right w:val="single" w:sz="4" w:space="4" w:color="auto"/>
        </w:pBdr>
      </w:pPr>
      <w:r>
        <w:t>5.</w:t>
      </w:r>
      <w:r>
        <w:tab/>
        <w:t>The following behaviours are supported for drx-HARQ-RTT-TimerUL in NTN per HARQ process: 1) Timer length is extended by offset; 2) Timer disabled (i.e. not started)</w:t>
      </w:r>
    </w:p>
    <w:p w14:paraId="335A3B95" w14:textId="77777777" w:rsidR="0054512A" w:rsidRDefault="0054512A" w:rsidP="0054512A">
      <w:pPr>
        <w:pStyle w:val="Doc-text2"/>
        <w:pBdr>
          <w:top w:val="single" w:sz="4" w:space="1" w:color="auto"/>
          <w:left w:val="single" w:sz="4" w:space="4" w:color="auto"/>
          <w:bottom w:val="single" w:sz="4" w:space="1" w:color="auto"/>
          <w:right w:val="single" w:sz="4" w:space="4" w:color="auto"/>
        </w:pBdr>
      </w:pPr>
      <w:r>
        <w:t>6.</w:t>
      </w:r>
      <w:r>
        <w:tab/>
        <w:t>UE determines drx-HARQ-RTT-TimerUL behaviour per HARQ process based on configured UL HARQ retransmission state.</w:t>
      </w:r>
    </w:p>
    <w:p w14:paraId="27AC89B7" w14:textId="77777777" w:rsidR="0054512A" w:rsidRDefault="0054512A" w:rsidP="0054512A">
      <w:pPr>
        <w:pStyle w:val="Doc-text2"/>
        <w:pBdr>
          <w:top w:val="single" w:sz="4" w:space="1" w:color="auto"/>
          <w:left w:val="single" w:sz="4" w:space="4" w:color="auto"/>
          <w:bottom w:val="single" w:sz="4" w:space="1" w:color="auto"/>
          <w:right w:val="single" w:sz="4" w:space="4" w:color="auto"/>
        </w:pBdr>
      </w:pPr>
      <w:r>
        <w:t>7.</w:t>
      </w:r>
      <w:r>
        <w:tab/>
        <w:t>For HARQ process(es) not configured with an UL HARQ retransmission state, drx-HARQ-RTT-TimerUL and drx-RetransmissionTimerUL behave as per legacy.</w:t>
      </w:r>
    </w:p>
    <w:p w14:paraId="6DF98C97" w14:textId="796E4E1A" w:rsidR="00012564" w:rsidRDefault="00012564" w:rsidP="00C770F6">
      <w:pPr>
        <w:rPr>
          <w:rFonts w:ascii="Arial" w:hAnsi="Arial" w:cs="Arial"/>
        </w:rPr>
      </w:pPr>
    </w:p>
    <w:p w14:paraId="17B72FF6" w14:textId="75154D96" w:rsidR="006A6F79" w:rsidRDefault="006A6F79" w:rsidP="00C770F6">
      <w:pPr>
        <w:rPr>
          <w:rFonts w:ascii="Arial" w:hAnsi="Arial" w:cs="Arial"/>
        </w:rPr>
      </w:pPr>
      <w:r>
        <w:rPr>
          <w:rFonts w:ascii="Arial" w:hAnsi="Arial" w:cs="Arial"/>
        </w:rPr>
        <w:t>And the in NR each LCH may be configured with an allowed HARQ mode</w:t>
      </w:r>
      <w:r w:rsidR="001F29CE">
        <w:rPr>
          <w:rFonts w:ascii="Arial" w:hAnsi="Arial" w:cs="Arial"/>
        </w:rPr>
        <w:t>:</w:t>
      </w:r>
    </w:p>
    <w:p w14:paraId="6ECF4656" w14:textId="77777777" w:rsidR="006A6F79" w:rsidRPr="00C47C68" w:rsidRDefault="006A6F79" w:rsidP="006A6F79">
      <w:pPr>
        <w:pStyle w:val="B1"/>
        <w:rPr>
          <w:lang w:eastAsia="ko-KR"/>
        </w:rPr>
      </w:pPr>
      <w:r w:rsidRPr="00C47C68">
        <w:rPr>
          <w:lang w:eastAsia="ko-KR"/>
        </w:rPr>
        <w:t>-</w:t>
      </w:r>
      <w:r w:rsidRPr="00C47C68">
        <w:rPr>
          <w:lang w:eastAsia="ko-KR"/>
        </w:rPr>
        <w:tab/>
      </w:r>
      <w:r w:rsidRPr="00C47C68">
        <w:rPr>
          <w:i/>
        </w:rPr>
        <w:t>allowedHARQ-mode</w:t>
      </w:r>
      <w:r w:rsidRPr="00C47C68">
        <w:t xml:space="preserve"> </w:t>
      </w:r>
      <w:r w:rsidRPr="00C47C68">
        <w:rPr>
          <w:lang w:eastAsia="ko-KR"/>
        </w:rPr>
        <w:t xml:space="preserve">which sets the allowed </w:t>
      </w:r>
      <w:r w:rsidRPr="00C47C68">
        <w:rPr>
          <w:i/>
          <w:iCs/>
          <w:lang w:eastAsia="ko-KR"/>
        </w:rPr>
        <w:t>uplinkHARQ-mode</w:t>
      </w:r>
      <w:r w:rsidRPr="00C47C68">
        <w:rPr>
          <w:lang w:eastAsia="ko-KR"/>
        </w:rPr>
        <w:t xml:space="preserve"> for transmission.</w:t>
      </w:r>
    </w:p>
    <w:p w14:paraId="51BCEBA7" w14:textId="5E11515B" w:rsidR="006A6F79" w:rsidRDefault="00CA2B23" w:rsidP="00C770F6">
      <w:pPr>
        <w:rPr>
          <w:rFonts w:ascii="Arial" w:hAnsi="Arial" w:cs="Arial"/>
        </w:rPr>
      </w:pPr>
      <w:r>
        <w:rPr>
          <w:rFonts w:ascii="Arial" w:hAnsi="Arial" w:cs="Arial"/>
        </w:rPr>
        <w:t xml:space="preserve">In the following we propose to add the same for eMTC, and we formulate in the way that it shall not matter if signalling of HARQ mode is in DCI per grant, or in RRC per HARQ process ID or in any other way. </w:t>
      </w:r>
    </w:p>
    <w:p w14:paraId="6BF51C5F" w14:textId="6CEACFB9" w:rsidR="001F29CE" w:rsidRDefault="001F29CE" w:rsidP="001F29CE">
      <w:pPr>
        <w:pStyle w:val="Proposal"/>
      </w:pPr>
      <w:bookmarkStart w:id="9" w:name="_Toc118447169"/>
      <w:r>
        <w:t>Each LCH</w:t>
      </w:r>
      <w:r w:rsidR="00CA2B23">
        <w:t xml:space="preserve"> in eMTC</w:t>
      </w:r>
      <w:r>
        <w:t xml:space="preserve"> may be configured with </w:t>
      </w:r>
      <w:r>
        <w:rPr>
          <w:i/>
          <w:iCs/>
        </w:rPr>
        <w:t>allowedHARQ-mode</w:t>
      </w:r>
      <w:r w:rsidR="00CA2B23">
        <w:t>,</w:t>
      </w:r>
      <w:r>
        <w:t xml:space="preserve"> </w:t>
      </w:r>
      <w:r w:rsidR="00CA2B23">
        <w:t xml:space="preserve">with values harqModeA or harqModeB, </w:t>
      </w:r>
      <w:r>
        <w:t>that indicates if the LCH only may be transmitted using</w:t>
      </w:r>
      <w:r w:rsidR="00CA2B23">
        <w:t xml:space="preserve"> a HARQ process associated with</w:t>
      </w:r>
      <w:r>
        <w:t xml:space="preserve"> HARQ mode A or</w:t>
      </w:r>
      <w:r w:rsidR="00CA2B23">
        <w:t xml:space="preserve"> </w:t>
      </w:r>
      <w:r>
        <w:t>HARQ mode B.</w:t>
      </w:r>
      <w:bookmarkEnd w:id="9"/>
      <w:r>
        <w:t xml:space="preserve"> </w:t>
      </w:r>
    </w:p>
    <w:p w14:paraId="315C32EF" w14:textId="04CC6BBC" w:rsidR="001F29CE" w:rsidRDefault="001F29CE" w:rsidP="001F29CE">
      <w:pPr>
        <w:pStyle w:val="Proposal"/>
      </w:pPr>
      <w:bookmarkStart w:id="10" w:name="_Toc118447170"/>
      <w:r>
        <w:t xml:space="preserve">If </w:t>
      </w:r>
      <w:r>
        <w:rPr>
          <w:i/>
          <w:iCs/>
        </w:rPr>
        <w:t>allowedHARQ-mode</w:t>
      </w:r>
      <w:r>
        <w:t xml:space="preserve"> is not configured for a LCH, then the LCH can be transmitted </w:t>
      </w:r>
      <w:r w:rsidR="00CA2B23">
        <w:t xml:space="preserve">on a HARQ process associated with </w:t>
      </w:r>
      <w:r>
        <w:t>either HARQ mode A</w:t>
      </w:r>
      <w:r w:rsidR="00CA2B23">
        <w:t xml:space="preserve">, </w:t>
      </w:r>
      <w:r>
        <w:t>HARQ mode B</w:t>
      </w:r>
      <w:r w:rsidR="00CA2B23">
        <w:t>, or not associated with an HARQ mode</w:t>
      </w:r>
      <w:r>
        <w:t>.</w:t>
      </w:r>
      <w:bookmarkEnd w:id="10"/>
    </w:p>
    <w:p w14:paraId="1D84A87D" w14:textId="66CBC24E" w:rsidR="001F29CE" w:rsidRDefault="001F29CE" w:rsidP="001F29CE">
      <w:pPr>
        <w:pStyle w:val="Proposal"/>
      </w:pPr>
      <w:bookmarkStart w:id="11" w:name="_Toc118447171"/>
      <w:r>
        <w:t xml:space="preserve">If a </w:t>
      </w:r>
      <w:r w:rsidR="00CA2B23">
        <w:t xml:space="preserve">HARQ process </w:t>
      </w:r>
      <w:r>
        <w:t xml:space="preserve">is not </w:t>
      </w:r>
      <w:r w:rsidR="00CA2B23">
        <w:t>associated</w:t>
      </w:r>
      <w:r>
        <w:t xml:space="preserve"> with an HARQ mode A or B, then a</w:t>
      </w:r>
      <w:r w:rsidR="00CA2B23">
        <w:t>n</w:t>
      </w:r>
      <w:r>
        <w:t xml:space="preserve"> LCH </w:t>
      </w:r>
      <w:r w:rsidR="00CA2B23">
        <w:t xml:space="preserve">may be transmitted on this HARQ process regardless of </w:t>
      </w:r>
      <w:r w:rsidR="00CA2B23">
        <w:rPr>
          <w:i/>
          <w:iCs/>
        </w:rPr>
        <w:t>allowedHARQ-mode</w:t>
      </w:r>
      <w:r w:rsidR="00CA2B23">
        <w:t xml:space="preserve"> configuration.</w:t>
      </w:r>
      <w:bookmarkEnd w:id="11"/>
    </w:p>
    <w:p w14:paraId="45BF2D69" w14:textId="77777777" w:rsidR="00012564" w:rsidRPr="00356708" w:rsidRDefault="00012564" w:rsidP="00C770F6">
      <w:pPr>
        <w:rPr>
          <w:rFonts w:ascii="Arial" w:hAnsi="Arial" w:cs="Arial"/>
        </w:rPr>
      </w:pPr>
    </w:p>
    <w:p w14:paraId="7FAD7DEB" w14:textId="5F9EA4EA" w:rsidR="00F63950" w:rsidRDefault="00230D18" w:rsidP="00B63BF2">
      <w:pPr>
        <w:pStyle w:val="Heading1"/>
      </w:pPr>
      <w:r>
        <w:t>3</w:t>
      </w:r>
      <w:r>
        <w:tab/>
      </w:r>
      <w:r w:rsidR="00B63BF2">
        <w:t>Conclusions</w:t>
      </w:r>
    </w:p>
    <w:p w14:paraId="0D39E4CC" w14:textId="77777777" w:rsidR="008E065E" w:rsidRPr="00356708" w:rsidRDefault="008E065E" w:rsidP="004A56D7">
      <w:pPr>
        <w:rPr>
          <w:rFonts w:ascii="Arial" w:hAnsi="Arial" w:cs="Arial"/>
        </w:rPr>
      </w:pPr>
      <w:r w:rsidRPr="00356708">
        <w:rPr>
          <w:rFonts w:ascii="Arial" w:hAnsi="Arial" w:cs="Arial"/>
        </w:rPr>
        <w:t xml:space="preserve">In </w:t>
      </w:r>
      <w:r w:rsidR="007729A2" w:rsidRPr="00356708">
        <w:rPr>
          <w:rFonts w:ascii="Arial" w:hAnsi="Arial" w:cs="Arial"/>
        </w:rPr>
        <w:t xml:space="preserve">the previous </w:t>
      </w:r>
      <w:r w:rsidRPr="00356708">
        <w:rPr>
          <w:rFonts w:ascii="Arial" w:hAnsi="Arial" w:cs="Arial"/>
        </w:rPr>
        <w:t>section</w:t>
      </w:r>
      <w:r w:rsidR="007729A2" w:rsidRPr="00356708">
        <w:rPr>
          <w:rFonts w:ascii="Arial" w:hAnsi="Arial" w:cs="Arial"/>
        </w:rPr>
        <w:t>s</w:t>
      </w:r>
      <w:r w:rsidRPr="00356708">
        <w:rPr>
          <w:rFonts w:ascii="Arial" w:hAnsi="Arial" w:cs="Arial"/>
        </w:rPr>
        <w:t xml:space="preserve"> we made the following observations:</w:t>
      </w:r>
      <w:r w:rsidR="00C93814" w:rsidRPr="00356708">
        <w:rPr>
          <w:rFonts w:ascii="Arial" w:hAnsi="Arial" w:cs="Arial"/>
        </w:rPr>
        <w:t xml:space="preserve"> </w:t>
      </w:r>
    </w:p>
    <w:p w14:paraId="5B1D9831" w14:textId="510ED992" w:rsidR="003A3217"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sidRPr="00356708">
        <w:rPr>
          <w:rFonts w:cs="Arial"/>
          <w:b w:val="0"/>
          <w:bCs/>
        </w:rPr>
        <w:fldChar w:fldCharType="begin"/>
      </w:r>
      <w:r w:rsidRPr="00356708">
        <w:rPr>
          <w:rFonts w:cs="Arial"/>
          <w:b w:val="0"/>
          <w:bCs/>
        </w:rPr>
        <w:instrText xml:space="preserve"> TOC \f O \n \h \z \t "Observation" \c </w:instrText>
      </w:r>
      <w:r w:rsidRPr="00356708">
        <w:rPr>
          <w:rFonts w:cs="Arial"/>
          <w:b w:val="0"/>
          <w:bCs/>
        </w:rPr>
        <w:fldChar w:fldCharType="separate"/>
      </w:r>
      <w:hyperlink w:anchor="_Toc118447162" w:history="1">
        <w:r w:rsidR="003A3217" w:rsidRPr="002B67ED">
          <w:rPr>
            <w:rStyle w:val="Hyperlink"/>
            <w:noProof/>
          </w:rPr>
          <w:t>Observation 1</w:t>
        </w:r>
        <w:r w:rsidR="003A3217">
          <w:rPr>
            <w:rFonts w:asciiTheme="minorHAnsi" w:eastAsiaTheme="minorEastAsia" w:hAnsiTheme="minorHAnsi" w:cstheme="minorBidi"/>
            <w:b w:val="0"/>
            <w:noProof/>
            <w:sz w:val="22"/>
            <w:szCs w:val="22"/>
            <w:lang w:eastAsia="en-GB"/>
          </w:rPr>
          <w:tab/>
        </w:r>
        <w:r w:rsidR="003A3217" w:rsidRPr="002B67ED">
          <w:rPr>
            <w:rStyle w:val="Hyperlink"/>
            <w:rFonts w:cs="Arial"/>
            <w:noProof/>
          </w:rPr>
          <w:t>RAN1 is discussing the signalling solutions for enabling/disabling DL HARQ feedback</w:t>
        </w:r>
        <w:r w:rsidR="003A3217" w:rsidRPr="002B67ED">
          <w:rPr>
            <w:rStyle w:val="Hyperlink"/>
            <w:noProof/>
          </w:rPr>
          <w:t>.</w:t>
        </w:r>
      </w:hyperlink>
    </w:p>
    <w:p w14:paraId="27DAABE2" w14:textId="19647974" w:rsidR="00BC3BC7" w:rsidRPr="00356708" w:rsidRDefault="006F6582" w:rsidP="004A56D7">
      <w:pPr>
        <w:rPr>
          <w:rFonts w:ascii="Arial" w:hAnsi="Arial" w:cs="Arial"/>
        </w:rPr>
      </w:pPr>
      <w:r w:rsidRPr="00356708">
        <w:rPr>
          <w:rFonts w:ascii="Arial" w:hAnsi="Arial" w:cs="Arial"/>
          <w:b/>
          <w:bCs/>
        </w:rPr>
        <w:fldChar w:fldCharType="end"/>
      </w:r>
    </w:p>
    <w:p w14:paraId="2C9C9770" w14:textId="55BBFCB6" w:rsidR="006E1C82" w:rsidRPr="00356708" w:rsidRDefault="008E065E" w:rsidP="004A56D7">
      <w:pPr>
        <w:rPr>
          <w:rFonts w:ascii="Arial" w:hAnsi="Arial" w:cs="Arial"/>
        </w:rPr>
      </w:pPr>
      <w:r w:rsidRPr="00356708">
        <w:rPr>
          <w:rFonts w:ascii="Arial" w:hAnsi="Arial" w:cs="Arial"/>
        </w:rPr>
        <w:t xml:space="preserve">Based on the discussion in </w:t>
      </w:r>
      <w:r w:rsidR="007729A2" w:rsidRPr="00356708">
        <w:rPr>
          <w:rFonts w:ascii="Arial" w:hAnsi="Arial" w:cs="Arial"/>
        </w:rPr>
        <w:t xml:space="preserve">the previous </w:t>
      </w:r>
      <w:r w:rsidRPr="00356708">
        <w:rPr>
          <w:rFonts w:ascii="Arial" w:hAnsi="Arial" w:cs="Arial"/>
        </w:rPr>
        <w:t>section</w:t>
      </w:r>
      <w:r w:rsidR="007729A2" w:rsidRPr="00356708">
        <w:rPr>
          <w:rFonts w:ascii="Arial" w:hAnsi="Arial" w:cs="Arial"/>
        </w:rPr>
        <w:t>s</w:t>
      </w:r>
      <w:r w:rsidRPr="00356708">
        <w:rPr>
          <w:rFonts w:ascii="Arial" w:hAnsi="Arial" w:cs="Arial"/>
        </w:rPr>
        <w:t xml:space="preserve"> we propose the following:</w:t>
      </w:r>
    </w:p>
    <w:p w14:paraId="5F29F262" w14:textId="00D0E3C5" w:rsidR="003A3217"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sidRPr="00356708">
        <w:rPr>
          <w:rFonts w:cs="Arial"/>
          <w:b w:val="0"/>
          <w:bCs/>
          <w:lang w:val="en-US"/>
        </w:rPr>
        <w:fldChar w:fldCharType="begin"/>
      </w:r>
      <w:r w:rsidRPr="00356708">
        <w:rPr>
          <w:rFonts w:cs="Arial"/>
          <w:b w:val="0"/>
          <w:bCs/>
          <w:lang w:val="en-US"/>
        </w:rPr>
        <w:instrText xml:space="preserve"> TOC \n \h \z \t "Proposal" \c </w:instrText>
      </w:r>
      <w:r w:rsidRPr="00356708">
        <w:rPr>
          <w:rFonts w:cs="Arial"/>
          <w:b w:val="0"/>
          <w:bCs/>
          <w:lang w:val="en-US"/>
        </w:rPr>
        <w:fldChar w:fldCharType="separate"/>
      </w:r>
      <w:hyperlink w:anchor="_Toc118447163" w:history="1">
        <w:r w:rsidR="003A3217" w:rsidRPr="00A640C4">
          <w:rPr>
            <w:rStyle w:val="Hyperlink"/>
            <w:noProof/>
          </w:rPr>
          <w:t>Proposal 1</w:t>
        </w:r>
        <w:r w:rsidR="003A3217">
          <w:rPr>
            <w:rFonts w:asciiTheme="minorHAnsi" w:eastAsiaTheme="minorEastAsia" w:hAnsiTheme="minorHAnsi" w:cstheme="minorBidi"/>
            <w:b w:val="0"/>
            <w:noProof/>
            <w:sz w:val="22"/>
            <w:szCs w:val="22"/>
            <w:lang w:eastAsia="en-GB"/>
          </w:rPr>
          <w:tab/>
        </w:r>
        <w:r w:rsidR="003A3217" w:rsidRPr="00A640C4">
          <w:rPr>
            <w:rStyle w:val="Hyperlink"/>
            <w:noProof/>
          </w:rPr>
          <w:t>Select only one signalling solution to enable/disable DL HARQ feedback for eMTC and NB-IoT.</w:t>
        </w:r>
      </w:hyperlink>
    </w:p>
    <w:p w14:paraId="674489EB" w14:textId="750FF7B4" w:rsidR="003A3217" w:rsidRDefault="00495AC0">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7164" w:history="1">
        <w:r w:rsidR="003A3217" w:rsidRPr="00A640C4">
          <w:rPr>
            <w:rStyle w:val="Hyperlink"/>
            <w:noProof/>
          </w:rPr>
          <w:t>Proposal 2</w:t>
        </w:r>
        <w:r w:rsidR="003A3217">
          <w:rPr>
            <w:rFonts w:asciiTheme="minorHAnsi" w:eastAsiaTheme="minorEastAsia" w:hAnsiTheme="minorHAnsi" w:cstheme="minorBidi"/>
            <w:b w:val="0"/>
            <w:noProof/>
            <w:sz w:val="22"/>
            <w:szCs w:val="22"/>
            <w:lang w:eastAsia="en-GB"/>
          </w:rPr>
          <w:tab/>
        </w:r>
        <w:r w:rsidR="003A3217" w:rsidRPr="00A640C4">
          <w:rPr>
            <w:rStyle w:val="Hyperlink"/>
            <w:noProof/>
          </w:rPr>
          <w:t>If RAN1 selects a DCI based solution to enable/disable DL HARQ feedback, then RAN2 shall apply only that solution for eMTC and NB-IoT.</w:t>
        </w:r>
      </w:hyperlink>
    </w:p>
    <w:p w14:paraId="4B6BE0ED" w14:textId="61413709" w:rsidR="003A3217" w:rsidRDefault="00495AC0">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7165" w:history="1">
        <w:r w:rsidR="003A3217" w:rsidRPr="00A640C4">
          <w:rPr>
            <w:rStyle w:val="Hyperlink"/>
            <w:noProof/>
          </w:rPr>
          <w:t>Proposal 3</w:t>
        </w:r>
        <w:r w:rsidR="003A3217">
          <w:rPr>
            <w:rFonts w:asciiTheme="minorHAnsi" w:eastAsiaTheme="minorEastAsia" w:hAnsiTheme="minorHAnsi" w:cstheme="minorBidi"/>
            <w:b w:val="0"/>
            <w:noProof/>
            <w:sz w:val="22"/>
            <w:szCs w:val="22"/>
            <w:lang w:eastAsia="en-GB"/>
          </w:rPr>
          <w:tab/>
        </w:r>
        <w:r w:rsidR="003A3217" w:rsidRPr="00A640C4">
          <w:rPr>
            <w:rStyle w:val="Hyperlink"/>
            <w:noProof/>
          </w:rPr>
          <w:t>If RAN1 selects an RRC based solution to enable/disable DL HARQ feedback, then RAN2 shall apply only that solution for eMTC and NB-IoT.</w:t>
        </w:r>
      </w:hyperlink>
    </w:p>
    <w:p w14:paraId="04A0B4CD" w14:textId="15476910" w:rsidR="003A3217" w:rsidRDefault="00495AC0">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7166" w:history="1">
        <w:r w:rsidR="003A3217" w:rsidRPr="00A640C4">
          <w:rPr>
            <w:rStyle w:val="Hyperlink"/>
            <w:noProof/>
          </w:rPr>
          <w:t>Proposal 4</w:t>
        </w:r>
        <w:r w:rsidR="003A3217">
          <w:rPr>
            <w:rFonts w:asciiTheme="minorHAnsi" w:eastAsiaTheme="minorEastAsia" w:hAnsiTheme="minorHAnsi" w:cstheme="minorBidi"/>
            <w:b w:val="0"/>
            <w:noProof/>
            <w:sz w:val="22"/>
            <w:szCs w:val="22"/>
            <w:lang w:eastAsia="en-GB"/>
          </w:rPr>
          <w:tab/>
        </w:r>
        <w:r w:rsidR="003A3217" w:rsidRPr="00A640C4">
          <w:rPr>
            <w:rStyle w:val="Hyperlink"/>
            <w:noProof/>
          </w:rPr>
          <w:t>For the HARQ Mode A, the UL HARQ RTT timer shall be started after the UL transmission as in Release 17. For HARQ Mode B, the UL HARQ RTT Timer shall not be started after the UL transmission.</w:t>
        </w:r>
      </w:hyperlink>
    </w:p>
    <w:p w14:paraId="2444C1A4" w14:textId="71453589" w:rsidR="003A3217" w:rsidRDefault="00495AC0">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7167" w:history="1">
        <w:r w:rsidR="003A3217" w:rsidRPr="00A640C4">
          <w:rPr>
            <w:rStyle w:val="Hyperlink"/>
            <w:noProof/>
          </w:rPr>
          <w:t>Proposal 5</w:t>
        </w:r>
        <w:r w:rsidR="003A3217">
          <w:rPr>
            <w:rFonts w:asciiTheme="minorHAnsi" w:eastAsiaTheme="minorEastAsia" w:hAnsiTheme="minorHAnsi" w:cstheme="minorBidi"/>
            <w:b w:val="0"/>
            <w:noProof/>
            <w:sz w:val="22"/>
            <w:szCs w:val="22"/>
            <w:lang w:eastAsia="en-GB"/>
          </w:rPr>
          <w:tab/>
        </w:r>
        <w:r w:rsidR="003A3217" w:rsidRPr="00A640C4">
          <w:rPr>
            <w:rStyle w:val="Hyperlink"/>
            <w:noProof/>
          </w:rPr>
          <w:t>The same signalling solution selected to enable/disable DL HARQ feedback shall be selected for selecting the UL HARQ mode.</w:t>
        </w:r>
      </w:hyperlink>
    </w:p>
    <w:p w14:paraId="7CC567A6" w14:textId="01AB582D" w:rsidR="003A3217" w:rsidRDefault="00495AC0">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7168" w:history="1">
        <w:r w:rsidR="003A3217" w:rsidRPr="00A640C4">
          <w:rPr>
            <w:rStyle w:val="Hyperlink"/>
            <w:noProof/>
          </w:rPr>
          <w:t>Proposal 6</w:t>
        </w:r>
        <w:r w:rsidR="003A3217">
          <w:rPr>
            <w:rFonts w:asciiTheme="minorHAnsi" w:eastAsiaTheme="minorEastAsia" w:hAnsiTheme="minorHAnsi" w:cstheme="minorBidi"/>
            <w:b w:val="0"/>
            <w:noProof/>
            <w:sz w:val="22"/>
            <w:szCs w:val="22"/>
            <w:lang w:eastAsia="en-GB"/>
          </w:rPr>
          <w:tab/>
        </w:r>
        <w:r w:rsidR="003A3217" w:rsidRPr="00A640C4">
          <w:rPr>
            <w:rStyle w:val="Hyperlink"/>
            <w:noProof/>
          </w:rPr>
          <w:t>In case RAN1 selects a DCI based solution for enabling/disabling DL HARQ feedback and does not address the UL HARQ mode, send LS to RAN1 informing them that DCI based selection of UL HARQ ,mode A and B is needed.</w:t>
        </w:r>
      </w:hyperlink>
    </w:p>
    <w:p w14:paraId="3C26388D" w14:textId="4A324475" w:rsidR="003A3217" w:rsidRDefault="00495AC0">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7169" w:history="1">
        <w:r w:rsidR="003A3217" w:rsidRPr="00A640C4">
          <w:rPr>
            <w:rStyle w:val="Hyperlink"/>
            <w:noProof/>
          </w:rPr>
          <w:t>Proposal 7</w:t>
        </w:r>
        <w:r w:rsidR="003A3217">
          <w:rPr>
            <w:rFonts w:asciiTheme="minorHAnsi" w:eastAsiaTheme="minorEastAsia" w:hAnsiTheme="minorHAnsi" w:cstheme="minorBidi"/>
            <w:b w:val="0"/>
            <w:noProof/>
            <w:sz w:val="22"/>
            <w:szCs w:val="22"/>
            <w:lang w:eastAsia="en-GB"/>
          </w:rPr>
          <w:tab/>
        </w:r>
        <w:r w:rsidR="003A3217" w:rsidRPr="00A640C4">
          <w:rPr>
            <w:rStyle w:val="Hyperlink"/>
            <w:noProof/>
          </w:rPr>
          <w:t xml:space="preserve">Each LCH in eMTC may be configured with </w:t>
        </w:r>
        <w:r w:rsidR="003A3217" w:rsidRPr="00A640C4">
          <w:rPr>
            <w:rStyle w:val="Hyperlink"/>
            <w:i/>
            <w:iCs/>
            <w:noProof/>
          </w:rPr>
          <w:t>allowedHARQ-mode</w:t>
        </w:r>
        <w:r w:rsidR="003A3217" w:rsidRPr="00A640C4">
          <w:rPr>
            <w:rStyle w:val="Hyperlink"/>
            <w:noProof/>
          </w:rPr>
          <w:t>, with values harqModeA or harqModeB, that indicates if the LCH only may be transmitted using a HARQ process associated with HARQ mode A or HARQ mode B.</w:t>
        </w:r>
      </w:hyperlink>
    </w:p>
    <w:p w14:paraId="21544CC5" w14:textId="1240F54C" w:rsidR="003A3217" w:rsidRDefault="00495AC0">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7170" w:history="1">
        <w:r w:rsidR="003A3217" w:rsidRPr="00A640C4">
          <w:rPr>
            <w:rStyle w:val="Hyperlink"/>
            <w:noProof/>
          </w:rPr>
          <w:t>Proposal 8</w:t>
        </w:r>
        <w:r w:rsidR="003A3217">
          <w:rPr>
            <w:rFonts w:asciiTheme="minorHAnsi" w:eastAsiaTheme="minorEastAsia" w:hAnsiTheme="minorHAnsi" w:cstheme="minorBidi"/>
            <w:b w:val="0"/>
            <w:noProof/>
            <w:sz w:val="22"/>
            <w:szCs w:val="22"/>
            <w:lang w:eastAsia="en-GB"/>
          </w:rPr>
          <w:tab/>
        </w:r>
        <w:r w:rsidR="003A3217" w:rsidRPr="00A640C4">
          <w:rPr>
            <w:rStyle w:val="Hyperlink"/>
            <w:noProof/>
          </w:rPr>
          <w:t xml:space="preserve">If </w:t>
        </w:r>
        <w:r w:rsidR="003A3217" w:rsidRPr="00A640C4">
          <w:rPr>
            <w:rStyle w:val="Hyperlink"/>
            <w:i/>
            <w:iCs/>
            <w:noProof/>
          </w:rPr>
          <w:t>allowedHARQ-mode</w:t>
        </w:r>
        <w:r w:rsidR="003A3217" w:rsidRPr="00A640C4">
          <w:rPr>
            <w:rStyle w:val="Hyperlink"/>
            <w:noProof/>
          </w:rPr>
          <w:t xml:space="preserve"> is not configured for a LCH, then the LCH can be transmitted on a HARQ process associated with either HARQ mode A, HARQ mode B, or not associated with an HARQ mode.</w:t>
        </w:r>
      </w:hyperlink>
    </w:p>
    <w:p w14:paraId="3A11E959" w14:textId="1D607B8B" w:rsidR="003A3217" w:rsidRDefault="00495AC0">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7171" w:history="1">
        <w:r w:rsidR="003A3217" w:rsidRPr="00A640C4">
          <w:rPr>
            <w:rStyle w:val="Hyperlink"/>
            <w:noProof/>
          </w:rPr>
          <w:t>Proposal 9</w:t>
        </w:r>
        <w:r w:rsidR="003A3217">
          <w:rPr>
            <w:rFonts w:asciiTheme="minorHAnsi" w:eastAsiaTheme="minorEastAsia" w:hAnsiTheme="minorHAnsi" w:cstheme="minorBidi"/>
            <w:b w:val="0"/>
            <w:noProof/>
            <w:sz w:val="22"/>
            <w:szCs w:val="22"/>
            <w:lang w:eastAsia="en-GB"/>
          </w:rPr>
          <w:tab/>
        </w:r>
        <w:r w:rsidR="003A3217" w:rsidRPr="00A640C4">
          <w:rPr>
            <w:rStyle w:val="Hyperlink"/>
            <w:noProof/>
          </w:rPr>
          <w:t xml:space="preserve">If a HARQ process is not associated with an HARQ mode A or B, then an LCH may be transmitted on this HARQ process regardless of </w:t>
        </w:r>
        <w:r w:rsidR="003A3217" w:rsidRPr="00A640C4">
          <w:rPr>
            <w:rStyle w:val="Hyperlink"/>
            <w:i/>
            <w:iCs/>
            <w:noProof/>
          </w:rPr>
          <w:t>allowedHARQ-mode</w:t>
        </w:r>
        <w:r w:rsidR="003A3217" w:rsidRPr="00A640C4">
          <w:rPr>
            <w:rStyle w:val="Hyperlink"/>
            <w:noProof/>
          </w:rPr>
          <w:t xml:space="preserve"> configuration.</w:t>
        </w:r>
      </w:hyperlink>
    </w:p>
    <w:p w14:paraId="114CACFF" w14:textId="5C31D59F" w:rsidR="00C01F33" w:rsidRPr="00356708" w:rsidRDefault="006E1C82" w:rsidP="00356708">
      <w:pPr>
        <w:rPr>
          <w:rFonts w:ascii="Arial" w:hAnsi="Arial" w:cs="Arial"/>
        </w:rPr>
      </w:pPr>
      <w:r w:rsidRPr="00356708">
        <w:rPr>
          <w:rFonts w:ascii="Arial" w:hAnsi="Arial" w:cs="Arial"/>
          <w:b/>
          <w:bCs/>
          <w:lang w:val="en-US"/>
        </w:rPr>
        <w:fldChar w:fldCharType="end"/>
      </w:r>
    </w:p>
    <w:p w14:paraId="45955E2C" w14:textId="77777777" w:rsidR="00F507D1" w:rsidRPr="00CE0424" w:rsidRDefault="00F507D1" w:rsidP="00CE0424">
      <w:pPr>
        <w:pStyle w:val="Heading1"/>
      </w:pPr>
      <w:bookmarkStart w:id="12" w:name="_In-sequence_SDU_delivery"/>
      <w:bookmarkEnd w:id="12"/>
      <w:r w:rsidRPr="00CE0424">
        <w:t>References</w:t>
      </w:r>
    </w:p>
    <w:p w14:paraId="487B8299" w14:textId="77777777" w:rsidR="00053956" w:rsidRPr="00B206C8" w:rsidRDefault="00053956" w:rsidP="00053956">
      <w:pPr>
        <w:pStyle w:val="Reference"/>
      </w:pPr>
      <w:bookmarkStart w:id="13" w:name="_Ref174151459"/>
      <w:bookmarkStart w:id="14" w:name="_Ref189809556"/>
      <w:r>
        <w:t xml:space="preserve">RP-221806, </w:t>
      </w:r>
      <w:r w:rsidRPr="00747E13">
        <w:rPr>
          <w:rFonts w:cs="Arial"/>
          <w:iCs/>
          <w:szCs w:val="36"/>
        </w:rPr>
        <w:t xml:space="preserve">WID on </w:t>
      </w:r>
      <w:r w:rsidRPr="00B206C8">
        <w:rPr>
          <w:rFonts w:cs="Arial"/>
          <w:iCs/>
          <w:szCs w:val="36"/>
        </w:rPr>
        <w:t>IoT NTN enhancements</w:t>
      </w:r>
      <w:r w:rsidRPr="00B206C8">
        <w:t>, MediaTek, RAN#96, June 6-9, 2022</w:t>
      </w:r>
    </w:p>
    <w:bookmarkEnd w:id="13"/>
    <w:bookmarkEnd w:id="14"/>
    <w:p w14:paraId="122CACAD"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E2405" w14:textId="77777777" w:rsidR="009C4475" w:rsidRDefault="009C4475">
      <w:r>
        <w:separator/>
      </w:r>
    </w:p>
  </w:endnote>
  <w:endnote w:type="continuationSeparator" w:id="0">
    <w:p w14:paraId="29AB64A3" w14:textId="77777777" w:rsidR="009C4475" w:rsidRDefault="009C4475">
      <w:r>
        <w:continuationSeparator/>
      </w:r>
    </w:p>
  </w:endnote>
  <w:endnote w:type="continuationNotice" w:id="1">
    <w:p w14:paraId="5AFC971B" w14:textId="77777777" w:rsidR="009C4475" w:rsidRDefault="009C44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9243A" w14:textId="77777777" w:rsidR="009C4475" w:rsidRDefault="009C4475">
      <w:r>
        <w:separator/>
      </w:r>
    </w:p>
  </w:footnote>
  <w:footnote w:type="continuationSeparator" w:id="0">
    <w:p w14:paraId="2280D05C" w14:textId="77777777" w:rsidR="009C4475" w:rsidRDefault="009C4475">
      <w:r>
        <w:continuationSeparator/>
      </w:r>
    </w:p>
  </w:footnote>
  <w:footnote w:type="continuationNotice" w:id="1">
    <w:p w14:paraId="443CD5F7" w14:textId="77777777" w:rsidR="009C4475" w:rsidRDefault="009C44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A6AD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8228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836235"/>
    <w:multiLevelType w:val="hybridMultilevel"/>
    <w:tmpl w:val="797C016E"/>
    <w:lvl w:ilvl="0" w:tplc="CA9A0C6A">
      <w:numFmt w:val="bullet"/>
      <w:lvlText w:val="•"/>
      <w:lvlJc w:val="left"/>
      <w:pPr>
        <w:ind w:left="1080" w:hanging="72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44B8C"/>
    <w:multiLevelType w:val="hybridMultilevel"/>
    <w:tmpl w:val="347AAC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38A11BA"/>
    <w:multiLevelType w:val="hybridMultilevel"/>
    <w:tmpl w:val="6BFE5C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5CC29C7"/>
    <w:multiLevelType w:val="hybridMultilevel"/>
    <w:tmpl w:val="0158FB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DB50BD9"/>
    <w:multiLevelType w:val="hybridMultilevel"/>
    <w:tmpl w:val="7A962A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F7D6E3D"/>
    <w:multiLevelType w:val="hybridMultilevel"/>
    <w:tmpl w:val="BB7E4EF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8CD1643"/>
    <w:multiLevelType w:val="hybridMultilevel"/>
    <w:tmpl w:val="75C80190"/>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37"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22"/>
  </w:num>
  <w:num w:numId="3">
    <w:abstractNumId w:val="17"/>
  </w:num>
  <w:num w:numId="4">
    <w:abstractNumId w:val="18"/>
  </w:num>
  <w:num w:numId="5">
    <w:abstractNumId w:val="11"/>
  </w:num>
  <w:num w:numId="6">
    <w:abstractNumId w:val="20"/>
  </w:num>
  <w:num w:numId="7">
    <w:abstractNumId w:val="29"/>
  </w:num>
  <w:num w:numId="8">
    <w:abstractNumId w:val="12"/>
  </w:num>
  <w:num w:numId="9">
    <w:abstractNumId w:val="9"/>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30"/>
  </w:num>
  <w:num w:numId="17">
    <w:abstractNumId w:val="7"/>
  </w:num>
  <w:num w:numId="18">
    <w:abstractNumId w:val="8"/>
  </w:num>
  <w:num w:numId="19">
    <w:abstractNumId w:val="5"/>
  </w:num>
  <w:num w:numId="20">
    <w:abstractNumId w:val="35"/>
  </w:num>
  <w:num w:numId="21">
    <w:abstractNumId w:val="15"/>
  </w:num>
  <w:num w:numId="22">
    <w:abstractNumId w:val="32"/>
  </w:num>
  <w:num w:numId="23">
    <w:abstractNumId w:val="16"/>
  </w:num>
  <w:num w:numId="24">
    <w:abstractNumId w:val="14"/>
  </w:num>
  <w:num w:numId="25">
    <w:abstractNumId w:val="10"/>
  </w:num>
  <w:num w:numId="26">
    <w:abstractNumId w:val="28"/>
  </w:num>
  <w:num w:numId="27">
    <w:abstractNumId w:val="34"/>
  </w:num>
  <w:num w:numId="28">
    <w:abstractNumId w:val="31"/>
  </w:num>
  <w:num w:numId="29">
    <w:abstractNumId w:val="27"/>
  </w:num>
  <w:num w:numId="30">
    <w:abstractNumId w:val="36"/>
  </w:num>
  <w:num w:numId="31">
    <w:abstractNumId w:val="13"/>
  </w:num>
  <w:num w:numId="32">
    <w:abstractNumId w:val="23"/>
  </w:num>
  <w:num w:numId="33">
    <w:abstractNumId w:val="4"/>
  </w:num>
  <w:num w:numId="34">
    <w:abstractNumId w:val="21"/>
  </w:num>
  <w:num w:numId="35">
    <w:abstractNumId w:val="33"/>
  </w:num>
  <w:num w:numId="36">
    <w:abstractNumId w:val="26"/>
  </w:num>
  <w:num w:numId="37">
    <w:abstractNumId w:val="37"/>
  </w:num>
  <w:num w:numId="3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2D21"/>
    <w:rsid w:val="00004EDD"/>
    <w:rsid w:val="000054D7"/>
    <w:rsid w:val="0000564C"/>
    <w:rsid w:val="00006446"/>
    <w:rsid w:val="0000664B"/>
    <w:rsid w:val="00006896"/>
    <w:rsid w:val="00007CDC"/>
    <w:rsid w:val="000118F2"/>
    <w:rsid w:val="00011A0B"/>
    <w:rsid w:val="00011B28"/>
    <w:rsid w:val="00011BA0"/>
    <w:rsid w:val="00012564"/>
    <w:rsid w:val="00015D15"/>
    <w:rsid w:val="00020890"/>
    <w:rsid w:val="0002564D"/>
    <w:rsid w:val="00025ECA"/>
    <w:rsid w:val="00026203"/>
    <w:rsid w:val="000325B8"/>
    <w:rsid w:val="00034C15"/>
    <w:rsid w:val="00035C42"/>
    <w:rsid w:val="00036BA1"/>
    <w:rsid w:val="00037481"/>
    <w:rsid w:val="000422E2"/>
    <w:rsid w:val="00042F22"/>
    <w:rsid w:val="000444EF"/>
    <w:rsid w:val="000517EA"/>
    <w:rsid w:val="00052A07"/>
    <w:rsid w:val="00052E41"/>
    <w:rsid w:val="000534E3"/>
    <w:rsid w:val="00053956"/>
    <w:rsid w:val="00055EB6"/>
    <w:rsid w:val="0005606A"/>
    <w:rsid w:val="00057117"/>
    <w:rsid w:val="000616E7"/>
    <w:rsid w:val="000628CC"/>
    <w:rsid w:val="0006487E"/>
    <w:rsid w:val="00065E1A"/>
    <w:rsid w:val="0007441B"/>
    <w:rsid w:val="00074C5D"/>
    <w:rsid w:val="00076B4D"/>
    <w:rsid w:val="0007799D"/>
    <w:rsid w:val="00077E5F"/>
    <w:rsid w:val="0008036A"/>
    <w:rsid w:val="00080848"/>
    <w:rsid w:val="00081AE6"/>
    <w:rsid w:val="000855EB"/>
    <w:rsid w:val="00085B52"/>
    <w:rsid w:val="00086216"/>
    <w:rsid w:val="000866F2"/>
    <w:rsid w:val="0009009F"/>
    <w:rsid w:val="00091557"/>
    <w:rsid w:val="000924C1"/>
    <w:rsid w:val="000924F0"/>
    <w:rsid w:val="00092889"/>
    <w:rsid w:val="00092DAC"/>
    <w:rsid w:val="00093474"/>
    <w:rsid w:val="0009510F"/>
    <w:rsid w:val="000958C3"/>
    <w:rsid w:val="000A1B7B"/>
    <w:rsid w:val="000A1F45"/>
    <w:rsid w:val="000A22FA"/>
    <w:rsid w:val="000A4324"/>
    <w:rsid w:val="000A56F2"/>
    <w:rsid w:val="000B033F"/>
    <w:rsid w:val="000B0BA4"/>
    <w:rsid w:val="000B2719"/>
    <w:rsid w:val="000B3A8F"/>
    <w:rsid w:val="000B42DC"/>
    <w:rsid w:val="000B4AB9"/>
    <w:rsid w:val="000B58C3"/>
    <w:rsid w:val="000B5E01"/>
    <w:rsid w:val="000B61E9"/>
    <w:rsid w:val="000C165A"/>
    <w:rsid w:val="000C2E19"/>
    <w:rsid w:val="000C3219"/>
    <w:rsid w:val="000D0D07"/>
    <w:rsid w:val="000D224B"/>
    <w:rsid w:val="000D4797"/>
    <w:rsid w:val="000E0527"/>
    <w:rsid w:val="000E1E92"/>
    <w:rsid w:val="000E55FE"/>
    <w:rsid w:val="000E7F54"/>
    <w:rsid w:val="000F06D6"/>
    <w:rsid w:val="000F0EB1"/>
    <w:rsid w:val="000F1106"/>
    <w:rsid w:val="000F18A3"/>
    <w:rsid w:val="000F31FB"/>
    <w:rsid w:val="000F3BE9"/>
    <w:rsid w:val="000F3F6C"/>
    <w:rsid w:val="000F6DF3"/>
    <w:rsid w:val="001005FF"/>
    <w:rsid w:val="00103144"/>
    <w:rsid w:val="001062FB"/>
    <w:rsid w:val="001063E6"/>
    <w:rsid w:val="00112442"/>
    <w:rsid w:val="00113CF4"/>
    <w:rsid w:val="001153EA"/>
    <w:rsid w:val="00115643"/>
    <w:rsid w:val="00116765"/>
    <w:rsid w:val="001219B7"/>
    <w:rsid w:val="001219F5"/>
    <w:rsid w:val="00121A20"/>
    <w:rsid w:val="0012377F"/>
    <w:rsid w:val="00124314"/>
    <w:rsid w:val="00126B4A"/>
    <w:rsid w:val="001276B1"/>
    <w:rsid w:val="00132FD0"/>
    <w:rsid w:val="001344C0"/>
    <w:rsid w:val="001346FA"/>
    <w:rsid w:val="00134C81"/>
    <w:rsid w:val="00135252"/>
    <w:rsid w:val="00135F57"/>
    <w:rsid w:val="001374DA"/>
    <w:rsid w:val="00137AB5"/>
    <w:rsid w:val="00137F0B"/>
    <w:rsid w:val="0014227D"/>
    <w:rsid w:val="001478A7"/>
    <w:rsid w:val="00150C53"/>
    <w:rsid w:val="00151E23"/>
    <w:rsid w:val="0015259F"/>
    <w:rsid w:val="001526E0"/>
    <w:rsid w:val="001551B5"/>
    <w:rsid w:val="00155D6E"/>
    <w:rsid w:val="0015648E"/>
    <w:rsid w:val="00157234"/>
    <w:rsid w:val="00157824"/>
    <w:rsid w:val="00164448"/>
    <w:rsid w:val="001659C1"/>
    <w:rsid w:val="0017323E"/>
    <w:rsid w:val="00173A8E"/>
    <w:rsid w:val="0017502C"/>
    <w:rsid w:val="0017585D"/>
    <w:rsid w:val="0018143F"/>
    <w:rsid w:val="00181FF8"/>
    <w:rsid w:val="0018229A"/>
    <w:rsid w:val="00182FB2"/>
    <w:rsid w:val="00185221"/>
    <w:rsid w:val="00190569"/>
    <w:rsid w:val="00190AC1"/>
    <w:rsid w:val="0019341A"/>
    <w:rsid w:val="00197DF9"/>
    <w:rsid w:val="001A1987"/>
    <w:rsid w:val="001A1D35"/>
    <w:rsid w:val="001A2564"/>
    <w:rsid w:val="001A2EA4"/>
    <w:rsid w:val="001A6173"/>
    <w:rsid w:val="001A6CBA"/>
    <w:rsid w:val="001A6F84"/>
    <w:rsid w:val="001B0D97"/>
    <w:rsid w:val="001B5A5D"/>
    <w:rsid w:val="001C1CE5"/>
    <w:rsid w:val="001C1EC1"/>
    <w:rsid w:val="001C3D2A"/>
    <w:rsid w:val="001C3EA4"/>
    <w:rsid w:val="001C48F4"/>
    <w:rsid w:val="001D3D94"/>
    <w:rsid w:val="001D51BA"/>
    <w:rsid w:val="001D53E7"/>
    <w:rsid w:val="001D6342"/>
    <w:rsid w:val="001D6D53"/>
    <w:rsid w:val="001D7774"/>
    <w:rsid w:val="001E0061"/>
    <w:rsid w:val="001E46CB"/>
    <w:rsid w:val="001E58E2"/>
    <w:rsid w:val="001E700A"/>
    <w:rsid w:val="001E7AED"/>
    <w:rsid w:val="001F29CE"/>
    <w:rsid w:val="001F3916"/>
    <w:rsid w:val="001F54C5"/>
    <w:rsid w:val="001F5693"/>
    <w:rsid w:val="001F662C"/>
    <w:rsid w:val="001F7074"/>
    <w:rsid w:val="00200490"/>
    <w:rsid w:val="00201EE0"/>
    <w:rsid w:val="00201F3A"/>
    <w:rsid w:val="00203F96"/>
    <w:rsid w:val="002064BA"/>
    <w:rsid w:val="002069B2"/>
    <w:rsid w:val="00207FA3"/>
    <w:rsid w:val="00210CD9"/>
    <w:rsid w:val="00212851"/>
    <w:rsid w:val="00214B9C"/>
    <w:rsid w:val="00214DA8"/>
    <w:rsid w:val="00215423"/>
    <w:rsid w:val="002158FA"/>
    <w:rsid w:val="00220600"/>
    <w:rsid w:val="002224DB"/>
    <w:rsid w:val="00223FCB"/>
    <w:rsid w:val="002252C3"/>
    <w:rsid w:val="002252F3"/>
    <w:rsid w:val="00225C54"/>
    <w:rsid w:val="00230765"/>
    <w:rsid w:val="00230D18"/>
    <w:rsid w:val="002319E4"/>
    <w:rsid w:val="00235632"/>
    <w:rsid w:val="00235872"/>
    <w:rsid w:val="00240059"/>
    <w:rsid w:val="00241559"/>
    <w:rsid w:val="002435B3"/>
    <w:rsid w:val="002458EB"/>
    <w:rsid w:val="002500C8"/>
    <w:rsid w:val="00252BAD"/>
    <w:rsid w:val="00255421"/>
    <w:rsid w:val="00255CBE"/>
    <w:rsid w:val="00257543"/>
    <w:rsid w:val="002617E7"/>
    <w:rsid w:val="00263B89"/>
    <w:rsid w:val="00264228"/>
    <w:rsid w:val="00264334"/>
    <w:rsid w:val="0026473E"/>
    <w:rsid w:val="002650E6"/>
    <w:rsid w:val="00266214"/>
    <w:rsid w:val="00267C83"/>
    <w:rsid w:val="0027144F"/>
    <w:rsid w:val="00271813"/>
    <w:rsid w:val="00271F3A"/>
    <w:rsid w:val="00273278"/>
    <w:rsid w:val="002737F4"/>
    <w:rsid w:val="00273A81"/>
    <w:rsid w:val="00273C9E"/>
    <w:rsid w:val="0027629A"/>
    <w:rsid w:val="002805F5"/>
    <w:rsid w:val="00280751"/>
    <w:rsid w:val="0028280A"/>
    <w:rsid w:val="00282AD1"/>
    <w:rsid w:val="00286ACD"/>
    <w:rsid w:val="00287838"/>
    <w:rsid w:val="002907B5"/>
    <w:rsid w:val="00292BB8"/>
    <w:rsid w:val="00292EB7"/>
    <w:rsid w:val="00294D9A"/>
    <w:rsid w:val="00296227"/>
    <w:rsid w:val="00296F44"/>
    <w:rsid w:val="0029710A"/>
    <w:rsid w:val="0029777D"/>
    <w:rsid w:val="002A055E"/>
    <w:rsid w:val="002A1D4E"/>
    <w:rsid w:val="002A248E"/>
    <w:rsid w:val="002A2869"/>
    <w:rsid w:val="002A3DC2"/>
    <w:rsid w:val="002A752B"/>
    <w:rsid w:val="002B24D6"/>
    <w:rsid w:val="002B4F30"/>
    <w:rsid w:val="002B7240"/>
    <w:rsid w:val="002C2749"/>
    <w:rsid w:val="002C2C0D"/>
    <w:rsid w:val="002C41E6"/>
    <w:rsid w:val="002C5706"/>
    <w:rsid w:val="002D071A"/>
    <w:rsid w:val="002D1AC5"/>
    <w:rsid w:val="002D34B2"/>
    <w:rsid w:val="002D48B0"/>
    <w:rsid w:val="002D5B37"/>
    <w:rsid w:val="002D7637"/>
    <w:rsid w:val="002E17F2"/>
    <w:rsid w:val="002E6BD3"/>
    <w:rsid w:val="002E7CAE"/>
    <w:rsid w:val="002F2771"/>
    <w:rsid w:val="002F37A9"/>
    <w:rsid w:val="00300732"/>
    <w:rsid w:val="00301898"/>
    <w:rsid w:val="00301CE6"/>
    <w:rsid w:val="0030256B"/>
    <w:rsid w:val="00303F80"/>
    <w:rsid w:val="0030501F"/>
    <w:rsid w:val="00307BA1"/>
    <w:rsid w:val="0031163B"/>
    <w:rsid w:val="00311702"/>
    <w:rsid w:val="00311E82"/>
    <w:rsid w:val="00311F59"/>
    <w:rsid w:val="00313FD6"/>
    <w:rsid w:val="003143BD"/>
    <w:rsid w:val="00315363"/>
    <w:rsid w:val="003203ED"/>
    <w:rsid w:val="00320424"/>
    <w:rsid w:val="003205F8"/>
    <w:rsid w:val="00320A50"/>
    <w:rsid w:val="00322C9F"/>
    <w:rsid w:val="00324D23"/>
    <w:rsid w:val="00331751"/>
    <w:rsid w:val="0033281C"/>
    <w:rsid w:val="00334579"/>
    <w:rsid w:val="00335858"/>
    <w:rsid w:val="00336852"/>
    <w:rsid w:val="00336BDA"/>
    <w:rsid w:val="00342BD7"/>
    <w:rsid w:val="00344EAA"/>
    <w:rsid w:val="0034546A"/>
    <w:rsid w:val="00346DB5"/>
    <w:rsid w:val="003477B1"/>
    <w:rsid w:val="00351C2D"/>
    <w:rsid w:val="00356708"/>
    <w:rsid w:val="00357380"/>
    <w:rsid w:val="003602D9"/>
    <w:rsid w:val="003604CE"/>
    <w:rsid w:val="0036359E"/>
    <w:rsid w:val="00370E47"/>
    <w:rsid w:val="00371680"/>
    <w:rsid w:val="003742AC"/>
    <w:rsid w:val="00377CE1"/>
    <w:rsid w:val="00380E54"/>
    <w:rsid w:val="00385BF0"/>
    <w:rsid w:val="00392DF9"/>
    <w:rsid w:val="003939FF"/>
    <w:rsid w:val="0039501C"/>
    <w:rsid w:val="003A16EC"/>
    <w:rsid w:val="003A2223"/>
    <w:rsid w:val="003A2A0F"/>
    <w:rsid w:val="003A3217"/>
    <w:rsid w:val="003A45A1"/>
    <w:rsid w:val="003A5B0A"/>
    <w:rsid w:val="003A6133"/>
    <w:rsid w:val="003A6BAC"/>
    <w:rsid w:val="003A6E1E"/>
    <w:rsid w:val="003A70A4"/>
    <w:rsid w:val="003A7EF3"/>
    <w:rsid w:val="003B159C"/>
    <w:rsid w:val="003B170A"/>
    <w:rsid w:val="003B24F9"/>
    <w:rsid w:val="003B369F"/>
    <w:rsid w:val="003B36A3"/>
    <w:rsid w:val="003B64BB"/>
    <w:rsid w:val="003B7FE5"/>
    <w:rsid w:val="003C11C8"/>
    <w:rsid w:val="003C2702"/>
    <w:rsid w:val="003C548F"/>
    <w:rsid w:val="003C7806"/>
    <w:rsid w:val="003D109F"/>
    <w:rsid w:val="003D2478"/>
    <w:rsid w:val="003D3C45"/>
    <w:rsid w:val="003D453E"/>
    <w:rsid w:val="003D5B1F"/>
    <w:rsid w:val="003E15FA"/>
    <w:rsid w:val="003E55E4"/>
    <w:rsid w:val="003E74E3"/>
    <w:rsid w:val="003F05C7"/>
    <w:rsid w:val="003F2CD4"/>
    <w:rsid w:val="003F4EAC"/>
    <w:rsid w:val="003F6BBE"/>
    <w:rsid w:val="003F7886"/>
    <w:rsid w:val="004000E8"/>
    <w:rsid w:val="00402E2B"/>
    <w:rsid w:val="00403651"/>
    <w:rsid w:val="0040512B"/>
    <w:rsid w:val="00405CA5"/>
    <w:rsid w:val="00407A4E"/>
    <w:rsid w:val="00407AED"/>
    <w:rsid w:val="00407CD3"/>
    <w:rsid w:val="00410134"/>
    <w:rsid w:val="00410B72"/>
    <w:rsid w:val="00410F18"/>
    <w:rsid w:val="00410FBB"/>
    <w:rsid w:val="0041263E"/>
    <w:rsid w:val="00413AAC"/>
    <w:rsid w:val="00413E92"/>
    <w:rsid w:val="004144D8"/>
    <w:rsid w:val="00421105"/>
    <w:rsid w:val="00422AA4"/>
    <w:rsid w:val="004242F4"/>
    <w:rsid w:val="004245D5"/>
    <w:rsid w:val="00427248"/>
    <w:rsid w:val="00433AC7"/>
    <w:rsid w:val="00437447"/>
    <w:rsid w:val="004414D8"/>
    <w:rsid w:val="00441A92"/>
    <w:rsid w:val="00442400"/>
    <w:rsid w:val="004431DC"/>
    <w:rsid w:val="004444BB"/>
    <w:rsid w:val="00444F56"/>
    <w:rsid w:val="00445E6D"/>
    <w:rsid w:val="00446294"/>
    <w:rsid w:val="00446488"/>
    <w:rsid w:val="004514F0"/>
    <w:rsid w:val="004517AA"/>
    <w:rsid w:val="00452CAC"/>
    <w:rsid w:val="004557A5"/>
    <w:rsid w:val="00457565"/>
    <w:rsid w:val="00457B71"/>
    <w:rsid w:val="004669E2"/>
    <w:rsid w:val="00470C31"/>
    <w:rsid w:val="00471DE0"/>
    <w:rsid w:val="004734D0"/>
    <w:rsid w:val="0047556B"/>
    <w:rsid w:val="00477768"/>
    <w:rsid w:val="00487F95"/>
    <w:rsid w:val="004904B7"/>
    <w:rsid w:val="0049089E"/>
    <w:rsid w:val="00492BC5"/>
    <w:rsid w:val="00493799"/>
    <w:rsid w:val="00493DC9"/>
    <w:rsid w:val="00494AF1"/>
    <w:rsid w:val="00495AC0"/>
    <w:rsid w:val="004964F1"/>
    <w:rsid w:val="004A16BC"/>
    <w:rsid w:val="004A2B94"/>
    <w:rsid w:val="004A56D7"/>
    <w:rsid w:val="004B4E68"/>
    <w:rsid w:val="004B6F6A"/>
    <w:rsid w:val="004B7C0C"/>
    <w:rsid w:val="004C3898"/>
    <w:rsid w:val="004C3DD7"/>
    <w:rsid w:val="004C596A"/>
    <w:rsid w:val="004C641B"/>
    <w:rsid w:val="004C73ED"/>
    <w:rsid w:val="004D0116"/>
    <w:rsid w:val="004D36B1"/>
    <w:rsid w:val="004D4A08"/>
    <w:rsid w:val="004D7EBD"/>
    <w:rsid w:val="004E2111"/>
    <w:rsid w:val="004E2680"/>
    <w:rsid w:val="004E26F8"/>
    <w:rsid w:val="004E28F9"/>
    <w:rsid w:val="004E3FF1"/>
    <w:rsid w:val="004E462E"/>
    <w:rsid w:val="004E56DC"/>
    <w:rsid w:val="004E72DB"/>
    <w:rsid w:val="004E76F4"/>
    <w:rsid w:val="004F0B4E"/>
    <w:rsid w:val="004F0B6C"/>
    <w:rsid w:val="004F2078"/>
    <w:rsid w:val="004F4DA3"/>
    <w:rsid w:val="004F6DFB"/>
    <w:rsid w:val="004F75A1"/>
    <w:rsid w:val="004F789A"/>
    <w:rsid w:val="00502F23"/>
    <w:rsid w:val="00506557"/>
    <w:rsid w:val="0050677A"/>
    <w:rsid w:val="005075E5"/>
    <w:rsid w:val="005108D8"/>
    <w:rsid w:val="005116F9"/>
    <w:rsid w:val="005153A7"/>
    <w:rsid w:val="00516760"/>
    <w:rsid w:val="005219CF"/>
    <w:rsid w:val="00524A04"/>
    <w:rsid w:val="0053052D"/>
    <w:rsid w:val="00532177"/>
    <w:rsid w:val="00533F52"/>
    <w:rsid w:val="00534B59"/>
    <w:rsid w:val="00536759"/>
    <w:rsid w:val="00537C62"/>
    <w:rsid w:val="005449CC"/>
    <w:rsid w:val="0054512A"/>
    <w:rsid w:val="00546970"/>
    <w:rsid w:val="00550264"/>
    <w:rsid w:val="00554E19"/>
    <w:rsid w:val="005561E4"/>
    <w:rsid w:val="005566C2"/>
    <w:rsid w:val="0056121F"/>
    <w:rsid w:val="005640C9"/>
    <w:rsid w:val="00572505"/>
    <w:rsid w:val="005729EC"/>
    <w:rsid w:val="00574573"/>
    <w:rsid w:val="00575F09"/>
    <w:rsid w:val="0057738D"/>
    <w:rsid w:val="00582809"/>
    <w:rsid w:val="00582A7F"/>
    <w:rsid w:val="00584A8F"/>
    <w:rsid w:val="0058798C"/>
    <w:rsid w:val="00587C8B"/>
    <w:rsid w:val="005900FA"/>
    <w:rsid w:val="005935A4"/>
    <w:rsid w:val="005935A8"/>
    <w:rsid w:val="005948C2"/>
    <w:rsid w:val="00595DCA"/>
    <w:rsid w:val="00596877"/>
    <w:rsid w:val="0059779B"/>
    <w:rsid w:val="005A04BA"/>
    <w:rsid w:val="005A209A"/>
    <w:rsid w:val="005A5955"/>
    <w:rsid w:val="005A603F"/>
    <w:rsid w:val="005A662D"/>
    <w:rsid w:val="005A7B0E"/>
    <w:rsid w:val="005B1409"/>
    <w:rsid w:val="005B35D7"/>
    <w:rsid w:val="005B392A"/>
    <w:rsid w:val="005B3AA3"/>
    <w:rsid w:val="005B5587"/>
    <w:rsid w:val="005B6F83"/>
    <w:rsid w:val="005C6284"/>
    <w:rsid w:val="005C74FB"/>
    <w:rsid w:val="005D0DE7"/>
    <w:rsid w:val="005D1524"/>
    <w:rsid w:val="005D1602"/>
    <w:rsid w:val="005D7C1C"/>
    <w:rsid w:val="005E385F"/>
    <w:rsid w:val="005E5B81"/>
    <w:rsid w:val="005F2274"/>
    <w:rsid w:val="005F2CB1"/>
    <w:rsid w:val="005F3025"/>
    <w:rsid w:val="005F4965"/>
    <w:rsid w:val="005F618C"/>
    <w:rsid w:val="005F70BD"/>
    <w:rsid w:val="005F7ACD"/>
    <w:rsid w:val="00601DD3"/>
    <w:rsid w:val="0060283C"/>
    <w:rsid w:val="00604F14"/>
    <w:rsid w:val="00611564"/>
    <w:rsid w:val="00611B83"/>
    <w:rsid w:val="00613257"/>
    <w:rsid w:val="00613F7D"/>
    <w:rsid w:val="00617697"/>
    <w:rsid w:val="00620A71"/>
    <w:rsid w:val="00620D80"/>
    <w:rsid w:val="00622C42"/>
    <w:rsid w:val="006234A6"/>
    <w:rsid w:val="00630001"/>
    <w:rsid w:val="006311B3"/>
    <w:rsid w:val="0063284C"/>
    <w:rsid w:val="00636398"/>
    <w:rsid w:val="006368D3"/>
    <w:rsid w:val="00636F09"/>
    <w:rsid w:val="006377EC"/>
    <w:rsid w:val="00637C14"/>
    <w:rsid w:val="0064151F"/>
    <w:rsid w:val="00641533"/>
    <w:rsid w:val="0064208D"/>
    <w:rsid w:val="00643475"/>
    <w:rsid w:val="0064396A"/>
    <w:rsid w:val="00643EE2"/>
    <w:rsid w:val="0064624E"/>
    <w:rsid w:val="00650AB9"/>
    <w:rsid w:val="00655733"/>
    <w:rsid w:val="00655ACD"/>
    <w:rsid w:val="00656A92"/>
    <w:rsid w:val="00656DDE"/>
    <w:rsid w:val="0066011D"/>
    <w:rsid w:val="006607C0"/>
    <w:rsid w:val="006613A6"/>
    <w:rsid w:val="006627A2"/>
    <w:rsid w:val="006634E6"/>
    <w:rsid w:val="00664AA0"/>
    <w:rsid w:val="00665402"/>
    <w:rsid w:val="006655EE"/>
    <w:rsid w:val="00667EE7"/>
    <w:rsid w:val="00670922"/>
    <w:rsid w:val="00670BE1"/>
    <w:rsid w:val="0067218F"/>
    <w:rsid w:val="006741F2"/>
    <w:rsid w:val="00674CC3"/>
    <w:rsid w:val="00675C72"/>
    <w:rsid w:val="006771F9"/>
    <w:rsid w:val="006776D7"/>
    <w:rsid w:val="00681003"/>
    <w:rsid w:val="006817C9"/>
    <w:rsid w:val="00682070"/>
    <w:rsid w:val="00683ECE"/>
    <w:rsid w:val="00691CCF"/>
    <w:rsid w:val="00695FC2"/>
    <w:rsid w:val="00696949"/>
    <w:rsid w:val="00697052"/>
    <w:rsid w:val="006A46FB"/>
    <w:rsid w:val="006A4C94"/>
    <w:rsid w:val="006A57C3"/>
    <w:rsid w:val="006A5E28"/>
    <w:rsid w:val="006A6694"/>
    <w:rsid w:val="006A697B"/>
    <w:rsid w:val="006A6F79"/>
    <w:rsid w:val="006A7AFF"/>
    <w:rsid w:val="006A7FD0"/>
    <w:rsid w:val="006B0FBA"/>
    <w:rsid w:val="006B1816"/>
    <w:rsid w:val="006B1C9A"/>
    <w:rsid w:val="006B2099"/>
    <w:rsid w:val="006B2C6C"/>
    <w:rsid w:val="006B4687"/>
    <w:rsid w:val="006B50CF"/>
    <w:rsid w:val="006C03B8"/>
    <w:rsid w:val="006C0BF9"/>
    <w:rsid w:val="006C3265"/>
    <w:rsid w:val="006C32E6"/>
    <w:rsid w:val="006C5EC9"/>
    <w:rsid w:val="006C6059"/>
    <w:rsid w:val="006C7522"/>
    <w:rsid w:val="006D1335"/>
    <w:rsid w:val="006D6F08"/>
    <w:rsid w:val="006E062C"/>
    <w:rsid w:val="006E1C82"/>
    <w:rsid w:val="006E28B7"/>
    <w:rsid w:val="006E2A9B"/>
    <w:rsid w:val="006E3310"/>
    <w:rsid w:val="006E4E39"/>
    <w:rsid w:val="006E565E"/>
    <w:rsid w:val="006E61BD"/>
    <w:rsid w:val="006E673D"/>
    <w:rsid w:val="006E7D3B"/>
    <w:rsid w:val="006F1B70"/>
    <w:rsid w:val="006F341D"/>
    <w:rsid w:val="006F3CDE"/>
    <w:rsid w:val="006F3D5A"/>
    <w:rsid w:val="006F58D4"/>
    <w:rsid w:val="006F6582"/>
    <w:rsid w:val="0070086A"/>
    <w:rsid w:val="007031BE"/>
    <w:rsid w:val="0070346E"/>
    <w:rsid w:val="00704EDB"/>
    <w:rsid w:val="00706101"/>
    <w:rsid w:val="00707072"/>
    <w:rsid w:val="00707D61"/>
    <w:rsid w:val="007112D9"/>
    <w:rsid w:val="00712287"/>
    <w:rsid w:val="00712772"/>
    <w:rsid w:val="00713192"/>
    <w:rsid w:val="007148D3"/>
    <w:rsid w:val="00715B9A"/>
    <w:rsid w:val="007220C4"/>
    <w:rsid w:val="007257D0"/>
    <w:rsid w:val="00726EA6"/>
    <w:rsid w:val="00727208"/>
    <w:rsid w:val="00727680"/>
    <w:rsid w:val="00731ACD"/>
    <w:rsid w:val="007348B1"/>
    <w:rsid w:val="007362A6"/>
    <w:rsid w:val="00736D7D"/>
    <w:rsid w:val="00740E58"/>
    <w:rsid w:val="007445A0"/>
    <w:rsid w:val="0074524B"/>
    <w:rsid w:val="00747D8B"/>
    <w:rsid w:val="00751228"/>
    <w:rsid w:val="007518D2"/>
    <w:rsid w:val="007550DD"/>
    <w:rsid w:val="007571E1"/>
    <w:rsid w:val="00757A16"/>
    <w:rsid w:val="007604B2"/>
    <w:rsid w:val="0076089F"/>
    <w:rsid w:val="00762571"/>
    <w:rsid w:val="00765281"/>
    <w:rsid w:val="00766BAD"/>
    <w:rsid w:val="007729A2"/>
    <w:rsid w:val="00774C64"/>
    <w:rsid w:val="007755F2"/>
    <w:rsid w:val="007759EA"/>
    <w:rsid w:val="00776971"/>
    <w:rsid w:val="00780A80"/>
    <w:rsid w:val="0078177E"/>
    <w:rsid w:val="0078304C"/>
    <w:rsid w:val="00783673"/>
    <w:rsid w:val="00785490"/>
    <w:rsid w:val="00785C8F"/>
    <w:rsid w:val="00791415"/>
    <w:rsid w:val="007925EA"/>
    <w:rsid w:val="00793928"/>
    <w:rsid w:val="00793CD8"/>
    <w:rsid w:val="00795C92"/>
    <w:rsid w:val="00796231"/>
    <w:rsid w:val="007A1CB3"/>
    <w:rsid w:val="007A306F"/>
    <w:rsid w:val="007A43A6"/>
    <w:rsid w:val="007A58A6"/>
    <w:rsid w:val="007A6D62"/>
    <w:rsid w:val="007B3D2D"/>
    <w:rsid w:val="007B50AE"/>
    <w:rsid w:val="007B51DF"/>
    <w:rsid w:val="007B5341"/>
    <w:rsid w:val="007B79AF"/>
    <w:rsid w:val="007C05DD"/>
    <w:rsid w:val="007C0E0D"/>
    <w:rsid w:val="007C3D18"/>
    <w:rsid w:val="007C60BF"/>
    <w:rsid w:val="007C6A07"/>
    <w:rsid w:val="007C75A1"/>
    <w:rsid w:val="007C77A5"/>
    <w:rsid w:val="007D003D"/>
    <w:rsid w:val="007D04E5"/>
    <w:rsid w:val="007D283D"/>
    <w:rsid w:val="007D354F"/>
    <w:rsid w:val="007D4ED1"/>
    <w:rsid w:val="007D50E7"/>
    <w:rsid w:val="007D54B3"/>
    <w:rsid w:val="007D5901"/>
    <w:rsid w:val="007D6099"/>
    <w:rsid w:val="007D682A"/>
    <w:rsid w:val="007D7526"/>
    <w:rsid w:val="007E24D7"/>
    <w:rsid w:val="007E4610"/>
    <w:rsid w:val="007E4715"/>
    <w:rsid w:val="007E505B"/>
    <w:rsid w:val="007E7091"/>
    <w:rsid w:val="007F4D7C"/>
    <w:rsid w:val="007F7E37"/>
    <w:rsid w:val="00800E54"/>
    <w:rsid w:val="00803FAE"/>
    <w:rsid w:val="0080605F"/>
    <w:rsid w:val="00807786"/>
    <w:rsid w:val="00810C9B"/>
    <w:rsid w:val="00811636"/>
    <w:rsid w:val="00811FCB"/>
    <w:rsid w:val="0081357B"/>
    <w:rsid w:val="008158D6"/>
    <w:rsid w:val="00817196"/>
    <w:rsid w:val="00821C11"/>
    <w:rsid w:val="0082349F"/>
    <w:rsid w:val="008235DB"/>
    <w:rsid w:val="00824324"/>
    <w:rsid w:val="00824AB4"/>
    <w:rsid w:val="00825C42"/>
    <w:rsid w:val="00825D25"/>
    <w:rsid w:val="00827D6F"/>
    <w:rsid w:val="00835D20"/>
    <w:rsid w:val="00835EEB"/>
    <w:rsid w:val="0083741B"/>
    <w:rsid w:val="008376AC"/>
    <w:rsid w:val="008444E8"/>
    <w:rsid w:val="00844E80"/>
    <w:rsid w:val="00845ADE"/>
    <w:rsid w:val="00846FE7"/>
    <w:rsid w:val="0085014C"/>
    <w:rsid w:val="0085655D"/>
    <w:rsid w:val="00856911"/>
    <w:rsid w:val="00860919"/>
    <w:rsid w:val="0086438E"/>
    <w:rsid w:val="00866E71"/>
    <w:rsid w:val="008677FD"/>
    <w:rsid w:val="00867C7B"/>
    <w:rsid w:val="008706D4"/>
    <w:rsid w:val="00870B2D"/>
    <w:rsid w:val="00870F8A"/>
    <w:rsid w:val="008719A4"/>
    <w:rsid w:val="00871D23"/>
    <w:rsid w:val="00874312"/>
    <w:rsid w:val="0087437C"/>
    <w:rsid w:val="00875CD7"/>
    <w:rsid w:val="00876B4D"/>
    <w:rsid w:val="00877F18"/>
    <w:rsid w:val="00881C7B"/>
    <w:rsid w:val="008826AC"/>
    <w:rsid w:val="008941E3"/>
    <w:rsid w:val="00894A88"/>
    <w:rsid w:val="00895386"/>
    <w:rsid w:val="008A21FF"/>
    <w:rsid w:val="008A2CE2"/>
    <w:rsid w:val="008A30AC"/>
    <w:rsid w:val="008A3E5E"/>
    <w:rsid w:val="008A44B8"/>
    <w:rsid w:val="008A51A8"/>
    <w:rsid w:val="008A54C7"/>
    <w:rsid w:val="008A77D8"/>
    <w:rsid w:val="008B0483"/>
    <w:rsid w:val="008B120C"/>
    <w:rsid w:val="008B3DB2"/>
    <w:rsid w:val="008B51A0"/>
    <w:rsid w:val="008B592A"/>
    <w:rsid w:val="008B7B5C"/>
    <w:rsid w:val="008C0207"/>
    <w:rsid w:val="008C0C99"/>
    <w:rsid w:val="008C18EA"/>
    <w:rsid w:val="008C2017"/>
    <w:rsid w:val="008C4958"/>
    <w:rsid w:val="008C4BAA"/>
    <w:rsid w:val="008C6AE8"/>
    <w:rsid w:val="008C7573"/>
    <w:rsid w:val="008D00A5"/>
    <w:rsid w:val="008D1614"/>
    <w:rsid w:val="008D34F1"/>
    <w:rsid w:val="008D39D8"/>
    <w:rsid w:val="008D5A77"/>
    <w:rsid w:val="008D6D1A"/>
    <w:rsid w:val="008E065E"/>
    <w:rsid w:val="008E0927"/>
    <w:rsid w:val="008E0E49"/>
    <w:rsid w:val="008E1909"/>
    <w:rsid w:val="008F1EAB"/>
    <w:rsid w:val="008F33DC"/>
    <w:rsid w:val="008F477F"/>
    <w:rsid w:val="008F4C56"/>
    <w:rsid w:val="008F7146"/>
    <w:rsid w:val="009000B8"/>
    <w:rsid w:val="00902350"/>
    <w:rsid w:val="009031D5"/>
    <w:rsid w:val="0090336B"/>
    <w:rsid w:val="0090437C"/>
    <w:rsid w:val="009053AA"/>
    <w:rsid w:val="00906939"/>
    <w:rsid w:val="00906FAA"/>
    <w:rsid w:val="00910B7D"/>
    <w:rsid w:val="00911397"/>
    <w:rsid w:val="00911DFB"/>
    <w:rsid w:val="009139D9"/>
    <w:rsid w:val="00914AD8"/>
    <w:rsid w:val="00916079"/>
    <w:rsid w:val="00916EF6"/>
    <w:rsid w:val="00917CE9"/>
    <w:rsid w:val="00920BF2"/>
    <w:rsid w:val="00922010"/>
    <w:rsid w:val="00927BCF"/>
    <w:rsid w:val="00931BD9"/>
    <w:rsid w:val="009330BE"/>
    <w:rsid w:val="00934418"/>
    <w:rsid w:val="009368F3"/>
    <w:rsid w:val="00937173"/>
    <w:rsid w:val="00941636"/>
    <w:rsid w:val="00941E82"/>
    <w:rsid w:val="00943742"/>
    <w:rsid w:val="00945C05"/>
    <w:rsid w:val="00946945"/>
    <w:rsid w:val="00947713"/>
    <w:rsid w:val="00950DE7"/>
    <w:rsid w:val="00953920"/>
    <w:rsid w:val="00953D47"/>
    <w:rsid w:val="00954D40"/>
    <w:rsid w:val="0095681E"/>
    <w:rsid w:val="009572D4"/>
    <w:rsid w:val="009601CB"/>
    <w:rsid w:val="00961921"/>
    <w:rsid w:val="0096430A"/>
    <w:rsid w:val="0096554B"/>
    <w:rsid w:val="0096584A"/>
    <w:rsid w:val="00967493"/>
    <w:rsid w:val="0097110B"/>
    <w:rsid w:val="00971F08"/>
    <w:rsid w:val="0097603D"/>
    <w:rsid w:val="00976949"/>
    <w:rsid w:val="00976D96"/>
    <w:rsid w:val="00980477"/>
    <w:rsid w:val="00981938"/>
    <w:rsid w:val="0098383F"/>
    <w:rsid w:val="00985253"/>
    <w:rsid w:val="009853B3"/>
    <w:rsid w:val="0098563E"/>
    <w:rsid w:val="00986BF2"/>
    <w:rsid w:val="00990630"/>
    <w:rsid w:val="009908E0"/>
    <w:rsid w:val="00991761"/>
    <w:rsid w:val="00994DCA"/>
    <w:rsid w:val="009960EC"/>
    <w:rsid w:val="009970DD"/>
    <w:rsid w:val="00997E6D"/>
    <w:rsid w:val="009A0FBA"/>
    <w:rsid w:val="009A15FF"/>
    <w:rsid w:val="009A1601"/>
    <w:rsid w:val="009A2BF4"/>
    <w:rsid w:val="009A3BB6"/>
    <w:rsid w:val="009A462D"/>
    <w:rsid w:val="009A5CBA"/>
    <w:rsid w:val="009B1F30"/>
    <w:rsid w:val="009B3AC2"/>
    <w:rsid w:val="009B3C46"/>
    <w:rsid w:val="009B4DF4"/>
    <w:rsid w:val="009B564E"/>
    <w:rsid w:val="009B7E87"/>
    <w:rsid w:val="009C0169"/>
    <w:rsid w:val="009C02AA"/>
    <w:rsid w:val="009C09BE"/>
    <w:rsid w:val="009C403E"/>
    <w:rsid w:val="009C4475"/>
    <w:rsid w:val="009D06BA"/>
    <w:rsid w:val="009D2E3F"/>
    <w:rsid w:val="009D4FF0"/>
    <w:rsid w:val="009D703C"/>
    <w:rsid w:val="009D718F"/>
    <w:rsid w:val="009E068F"/>
    <w:rsid w:val="009E14E0"/>
    <w:rsid w:val="009E3334"/>
    <w:rsid w:val="009E35DB"/>
    <w:rsid w:val="009E4703"/>
    <w:rsid w:val="009E47A3"/>
    <w:rsid w:val="009F08F3"/>
    <w:rsid w:val="009F344F"/>
    <w:rsid w:val="009F5B79"/>
    <w:rsid w:val="00A031D8"/>
    <w:rsid w:val="00A033F7"/>
    <w:rsid w:val="00A04008"/>
    <w:rsid w:val="00A048A8"/>
    <w:rsid w:val="00A04F49"/>
    <w:rsid w:val="00A05B40"/>
    <w:rsid w:val="00A068A5"/>
    <w:rsid w:val="00A13E54"/>
    <w:rsid w:val="00A17B7C"/>
    <w:rsid w:val="00A17F63"/>
    <w:rsid w:val="00A2193B"/>
    <w:rsid w:val="00A21AA1"/>
    <w:rsid w:val="00A21CF6"/>
    <w:rsid w:val="00A2351A"/>
    <w:rsid w:val="00A254FE"/>
    <w:rsid w:val="00A264A9"/>
    <w:rsid w:val="00A26DCF"/>
    <w:rsid w:val="00A276BB"/>
    <w:rsid w:val="00A27785"/>
    <w:rsid w:val="00A30187"/>
    <w:rsid w:val="00A30F01"/>
    <w:rsid w:val="00A3156A"/>
    <w:rsid w:val="00A3448A"/>
    <w:rsid w:val="00A36297"/>
    <w:rsid w:val="00A41E2B"/>
    <w:rsid w:val="00A440E5"/>
    <w:rsid w:val="00A458D4"/>
    <w:rsid w:val="00A45B74"/>
    <w:rsid w:val="00A52E1D"/>
    <w:rsid w:val="00A53EDA"/>
    <w:rsid w:val="00A55D31"/>
    <w:rsid w:val="00A61499"/>
    <w:rsid w:val="00A62A77"/>
    <w:rsid w:val="00A63483"/>
    <w:rsid w:val="00A657D7"/>
    <w:rsid w:val="00A660AC"/>
    <w:rsid w:val="00A67E6C"/>
    <w:rsid w:val="00A71B99"/>
    <w:rsid w:val="00A739D0"/>
    <w:rsid w:val="00A761D4"/>
    <w:rsid w:val="00A77EC4"/>
    <w:rsid w:val="00A913A8"/>
    <w:rsid w:val="00A92879"/>
    <w:rsid w:val="00A9442A"/>
    <w:rsid w:val="00A954ED"/>
    <w:rsid w:val="00A95D2E"/>
    <w:rsid w:val="00AA016F"/>
    <w:rsid w:val="00AA1ED6"/>
    <w:rsid w:val="00AA51D6"/>
    <w:rsid w:val="00AA6695"/>
    <w:rsid w:val="00AA6BCE"/>
    <w:rsid w:val="00AB08B6"/>
    <w:rsid w:val="00AB0BC8"/>
    <w:rsid w:val="00AB11CA"/>
    <w:rsid w:val="00AB14D9"/>
    <w:rsid w:val="00AB3AF9"/>
    <w:rsid w:val="00AB4AB8"/>
    <w:rsid w:val="00AB4CAA"/>
    <w:rsid w:val="00AB4D2E"/>
    <w:rsid w:val="00AB655E"/>
    <w:rsid w:val="00AC007F"/>
    <w:rsid w:val="00AC08FF"/>
    <w:rsid w:val="00AC2ECD"/>
    <w:rsid w:val="00AC3119"/>
    <w:rsid w:val="00AC4857"/>
    <w:rsid w:val="00AC49FB"/>
    <w:rsid w:val="00AC5A10"/>
    <w:rsid w:val="00AC7932"/>
    <w:rsid w:val="00AD0AA3"/>
    <w:rsid w:val="00AD0B6B"/>
    <w:rsid w:val="00AD3F94"/>
    <w:rsid w:val="00AD4A5A"/>
    <w:rsid w:val="00AD5A7C"/>
    <w:rsid w:val="00AD6420"/>
    <w:rsid w:val="00AD64B2"/>
    <w:rsid w:val="00AD72DE"/>
    <w:rsid w:val="00AE27AC"/>
    <w:rsid w:val="00AE40E0"/>
    <w:rsid w:val="00AE4DBA"/>
    <w:rsid w:val="00AE4F07"/>
    <w:rsid w:val="00AE6180"/>
    <w:rsid w:val="00AE78AA"/>
    <w:rsid w:val="00AF1C5D"/>
    <w:rsid w:val="00AF3E89"/>
    <w:rsid w:val="00AF42D7"/>
    <w:rsid w:val="00AF79AD"/>
    <w:rsid w:val="00B006FE"/>
    <w:rsid w:val="00B007CB"/>
    <w:rsid w:val="00B02AA9"/>
    <w:rsid w:val="00B02FA3"/>
    <w:rsid w:val="00B04151"/>
    <w:rsid w:val="00B05084"/>
    <w:rsid w:val="00B0647C"/>
    <w:rsid w:val="00B072D3"/>
    <w:rsid w:val="00B1088F"/>
    <w:rsid w:val="00B11170"/>
    <w:rsid w:val="00B157F9"/>
    <w:rsid w:val="00B20256"/>
    <w:rsid w:val="00B206C8"/>
    <w:rsid w:val="00B20D09"/>
    <w:rsid w:val="00B253D8"/>
    <w:rsid w:val="00B2763F"/>
    <w:rsid w:val="00B27AAC"/>
    <w:rsid w:val="00B308BF"/>
    <w:rsid w:val="00B30929"/>
    <w:rsid w:val="00B32F96"/>
    <w:rsid w:val="00B343DB"/>
    <w:rsid w:val="00B372AA"/>
    <w:rsid w:val="00B373D1"/>
    <w:rsid w:val="00B40445"/>
    <w:rsid w:val="00B409E0"/>
    <w:rsid w:val="00B41888"/>
    <w:rsid w:val="00B42679"/>
    <w:rsid w:val="00B42C2F"/>
    <w:rsid w:val="00B45A52"/>
    <w:rsid w:val="00B46175"/>
    <w:rsid w:val="00B548B7"/>
    <w:rsid w:val="00B54DD0"/>
    <w:rsid w:val="00B60834"/>
    <w:rsid w:val="00B622BD"/>
    <w:rsid w:val="00B63BF2"/>
    <w:rsid w:val="00B664C7"/>
    <w:rsid w:val="00B70503"/>
    <w:rsid w:val="00B7145C"/>
    <w:rsid w:val="00B739F6"/>
    <w:rsid w:val="00B81A6C"/>
    <w:rsid w:val="00B85DE5"/>
    <w:rsid w:val="00B90F73"/>
    <w:rsid w:val="00B93B59"/>
    <w:rsid w:val="00B9406A"/>
    <w:rsid w:val="00BA2280"/>
    <w:rsid w:val="00BA2A08"/>
    <w:rsid w:val="00BA459A"/>
    <w:rsid w:val="00BA56D2"/>
    <w:rsid w:val="00BA738C"/>
    <w:rsid w:val="00BA76E0"/>
    <w:rsid w:val="00BA7E8B"/>
    <w:rsid w:val="00BB2A25"/>
    <w:rsid w:val="00BB51E9"/>
    <w:rsid w:val="00BB7BEC"/>
    <w:rsid w:val="00BC0FDC"/>
    <w:rsid w:val="00BC3053"/>
    <w:rsid w:val="00BC3610"/>
    <w:rsid w:val="00BC3BC7"/>
    <w:rsid w:val="00BC4D2E"/>
    <w:rsid w:val="00BC566B"/>
    <w:rsid w:val="00BD48AC"/>
    <w:rsid w:val="00BD5F1A"/>
    <w:rsid w:val="00BE1234"/>
    <w:rsid w:val="00BE179C"/>
    <w:rsid w:val="00BE2FA6"/>
    <w:rsid w:val="00BE333F"/>
    <w:rsid w:val="00BE6A41"/>
    <w:rsid w:val="00BE7406"/>
    <w:rsid w:val="00BE7603"/>
    <w:rsid w:val="00BF3279"/>
    <w:rsid w:val="00BF5C64"/>
    <w:rsid w:val="00BF74C7"/>
    <w:rsid w:val="00C015F1"/>
    <w:rsid w:val="00C0190F"/>
    <w:rsid w:val="00C01F33"/>
    <w:rsid w:val="00C02CC6"/>
    <w:rsid w:val="00C040F7"/>
    <w:rsid w:val="00C044AB"/>
    <w:rsid w:val="00C05706"/>
    <w:rsid w:val="00C07377"/>
    <w:rsid w:val="00C10478"/>
    <w:rsid w:val="00C10AD3"/>
    <w:rsid w:val="00C1111D"/>
    <w:rsid w:val="00C12107"/>
    <w:rsid w:val="00C14D4B"/>
    <w:rsid w:val="00C154BB"/>
    <w:rsid w:val="00C17523"/>
    <w:rsid w:val="00C268E6"/>
    <w:rsid w:val="00C279B5"/>
    <w:rsid w:val="00C27C45"/>
    <w:rsid w:val="00C3719D"/>
    <w:rsid w:val="00C37CB2"/>
    <w:rsid w:val="00C40CC5"/>
    <w:rsid w:val="00C427B7"/>
    <w:rsid w:val="00C43F34"/>
    <w:rsid w:val="00C473A5"/>
    <w:rsid w:val="00C52DEA"/>
    <w:rsid w:val="00C54995"/>
    <w:rsid w:val="00C54D41"/>
    <w:rsid w:val="00C554A7"/>
    <w:rsid w:val="00C60783"/>
    <w:rsid w:val="00C64672"/>
    <w:rsid w:val="00C67D57"/>
    <w:rsid w:val="00C70697"/>
    <w:rsid w:val="00C72093"/>
    <w:rsid w:val="00C72D31"/>
    <w:rsid w:val="00C72EF4"/>
    <w:rsid w:val="00C73135"/>
    <w:rsid w:val="00C744FE"/>
    <w:rsid w:val="00C75D2F"/>
    <w:rsid w:val="00C767BE"/>
    <w:rsid w:val="00C769FC"/>
    <w:rsid w:val="00C76E3C"/>
    <w:rsid w:val="00C770F6"/>
    <w:rsid w:val="00C81568"/>
    <w:rsid w:val="00C9027A"/>
    <w:rsid w:val="00C9068E"/>
    <w:rsid w:val="00C93814"/>
    <w:rsid w:val="00C93C4B"/>
    <w:rsid w:val="00C944AB"/>
    <w:rsid w:val="00C95B40"/>
    <w:rsid w:val="00CA1ED8"/>
    <w:rsid w:val="00CA2266"/>
    <w:rsid w:val="00CA2B23"/>
    <w:rsid w:val="00CA5D4C"/>
    <w:rsid w:val="00CB16BB"/>
    <w:rsid w:val="00CB1F63"/>
    <w:rsid w:val="00CB235A"/>
    <w:rsid w:val="00CB563B"/>
    <w:rsid w:val="00CB7170"/>
    <w:rsid w:val="00CC040E"/>
    <w:rsid w:val="00CC04E8"/>
    <w:rsid w:val="00CC111F"/>
    <w:rsid w:val="00CC2011"/>
    <w:rsid w:val="00CC3EA0"/>
    <w:rsid w:val="00CC7B45"/>
    <w:rsid w:val="00CD1188"/>
    <w:rsid w:val="00CD2ED1"/>
    <w:rsid w:val="00CD32D3"/>
    <w:rsid w:val="00CD337B"/>
    <w:rsid w:val="00CE0424"/>
    <w:rsid w:val="00CE7561"/>
    <w:rsid w:val="00CF00F5"/>
    <w:rsid w:val="00CF1354"/>
    <w:rsid w:val="00CF3B1F"/>
    <w:rsid w:val="00CF3BF6"/>
    <w:rsid w:val="00CF625B"/>
    <w:rsid w:val="00CF687E"/>
    <w:rsid w:val="00D0349B"/>
    <w:rsid w:val="00D04378"/>
    <w:rsid w:val="00D10249"/>
    <w:rsid w:val="00D115C3"/>
    <w:rsid w:val="00D11897"/>
    <w:rsid w:val="00D13135"/>
    <w:rsid w:val="00D13E4E"/>
    <w:rsid w:val="00D239A7"/>
    <w:rsid w:val="00D23F47"/>
    <w:rsid w:val="00D27258"/>
    <w:rsid w:val="00D31C47"/>
    <w:rsid w:val="00D34CEE"/>
    <w:rsid w:val="00D35D73"/>
    <w:rsid w:val="00D36E71"/>
    <w:rsid w:val="00D37D87"/>
    <w:rsid w:val="00D40B33"/>
    <w:rsid w:val="00D4318F"/>
    <w:rsid w:val="00D438BF"/>
    <w:rsid w:val="00D440F8"/>
    <w:rsid w:val="00D546FF"/>
    <w:rsid w:val="00D5538B"/>
    <w:rsid w:val="00D55AD5"/>
    <w:rsid w:val="00D576CA"/>
    <w:rsid w:val="00D61AF5"/>
    <w:rsid w:val="00D62417"/>
    <w:rsid w:val="00D6323F"/>
    <w:rsid w:val="00D647F1"/>
    <w:rsid w:val="00D652B5"/>
    <w:rsid w:val="00D66155"/>
    <w:rsid w:val="00D66A08"/>
    <w:rsid w:val="00D67B18"/>
    <w:rsid w:val="00D708B0"/>
    <w:rsid w:val="00D72B85"/>
    <w:rsid w:val="00D73FD1"/>
    <w:rsid w:val="00D77B1D"/>
    <w:rsid w:val="00D8021F"/>
    <w:rsid w:val="00D80383"/>
    <w:rsid w:val="00D823C6"/>
    <w:rsid w:val="00D8327F"/>
    <w:rsid w:val="00D86CA3"/>
    <w:rsid w:val="00D871CE"/>
    <w:rsid w:val="00D90B90"/>
    <w:rsid w:val="00D9196D"/>
    <w:rsid w:val="00D92982"/>
    <w:rsid w:val="00D9310F"/>
    <w:rsid w:val="00D956C3"/>
    <w:rsid w:val="00DA0EE7"/>
    <w:rsid w:val="00DA2CCB"/>
    <w:rsid w:val="00DA305E"/>
    <w:rsid w:val="00DA5417"/>
    <w:rsid w:val="00DA56E8"/>
    <w:rsid w:val="00DA6763"/>
    <w:rsid w:val="00DB0A9F"/>
    <w:rsid w:val="00DB1E74"/>
    <w:rsid w:val="00DB377D"/>
    <w:rsid w:val="00DB38DB"/>
    <w:rsid w:val="00DC12ED"/>
    <w:rsid w:val="00DC2516"/>
    <w:rsid w:val="00DC2D36"/>
    <w:rsid w:val="00DC3CA3"/>
    <w:rsid w:val="00DC53EF"/>
    <w:rsid w:val="00DC640A"/>
    <w:rsid w:val="00DD1F1B"/>
    <w:rsid w:val="00DE1B3C"/>
    <w:rsid w:val="00DE3D2D"/>
    <w:rsid w:val="00DE5608"/>
    <w:rsid w:val="00DE58D0"/>
    <w:rsid w:val="00DE654F"/>
    <w:rsid w:val="00DF0B6E"/>
    <w:rsid w:val="00DF15E0"/>
    <w:rsid w:val="00DF3090"/>
    <w:rsid w:val="00DF37A0"/>
    <w:rsid w:val="00DF6E19"/>
    <w:rsid w:val="00E0218D"/>
    <w:rsid w:val="00E07D9A"/>
    <w:rsid w:val="00E110E7"/>
    <w:rsid w:val="00E11B20"/>
    <w:rsid w:val="00E17FA2"/>
    <w:rsid w:val="00E22330"/>
    <w:rsid w:val="00E30B5A"/>
    <w:rsid w:val="00E30E39"/>
    <w:rsid w:val="00E3123D"/>
    <w:rsid w:val="00E31461"/>
    <w:rsid w:val="00E31D43"/>
    <w:rsid w:val="00E32608"/>
    <w:rsid w:val="00E34188"/>
    <w:rsid w:val="00E34B6E"/>
    <w:rsid w:val="00E34DA6"/>
    <w:rsid w:val="00E34F91"/>
    <w:rsid w:val="00E35559"/>
    <w:rsid w:val="00E3723A"/>
    <w:rsid w:val="00E37860"/>
    <w:rsid w:val="00E37E96"/>
    <w:rsid w:val="00E446F1"/>
    <w:rsid w:val="00E46886"/>
    <w:rsid w:val="00E47AEF"/>
    <w:rsid w:val="00E53B75"/>
    <w:rsid w:val="00E54E3B"/>
    <w:rsid w:val="00E57565"/>
    <w:rsid w:val="00E57661"/>
    <w:rsid w:val="00E57837"/>
    <w:rsid w:val="00E60D26"/>
    <w:rsid w:val="00E63838"/>
    <w:rsid w:val="00E64434"/>
    <w:rsid w:val="00E67C51"/>
    <w:rsid w:val="00E72EFC"/>
    <w:rsid w:val="00E74516"/>
    <w:rsid w:val="00E757A1"/>
    <w:rsid w:val="00E758EC"/>
    <w:rsid w:val="00E8234C"/>
    <w:rsid w:val="00E82CC0"/>
    <w:rsid w:val="00E83AA9"/>
    <w:rsid w:val="00E85928"/>
    <w:rsid w:val="00E87822"/>
    <w:rsid w:val="00E90395"/>
    <w:rsid w:val="00E90E49"/>
    <w:rsid w:val="00E917F9"/>
    <w:rsid w:val="00E9291C"/>
    <w:rsid w:val="00E93FFE"/>
    <w:rsid w:val="00E94F8A"/>
    <w:rsid w:val="00EA3DF1"/>
    <w:rsid w:val="00EA6A8E"/>
    <w:rsid w:val="00EA7A41"/>
    <w:rsid w:val="00EB077B"/>
    <w:rsid w:val="00EB0DDF"/>
    <w:rsid w:val="00EB4EA2"/>
    <w:rsid w:val="00EC05EF"/>
    <w:rsid w:val="00EC119E"/>
    <w:rsid w:val="00EC24D5"/>
    <w:rsid w:val="00EC27C6"/>
    <w:rsid w:val="00EC30B7"/>
    <w:rsid w:val="00EC3584"/>
    <w:rsid w:val="00EC4207"/>
    <w:rsid w:val="00EC5653"/>
    <w:rsid w:val="00EC71CE"/>
    <w:rsid w:val="00ED1006"/>
    <w:rsid w:val="00ED5CC0"/>
    <w:rsid w:val="00EE229C"/>
    <w:rsid w:val="00EE4B42"/>
    <w:rsid w:val="00EE4E0F"/>
    <w:rsid w:val="00EF18FE"/>
    <w:rsid w:val="00EF5787"/>
    <w:rsid w:val="00EF60D0"/>
    <w:rsid w:val="00EF6FA6"/>
    <w:rsid w:val="00F01C7F"/>
    <w:rsid w:val="00F03CB0"/>
    <w:rsid w:val="00F046AC"/>
    <w:rsid w:val="00F0528D"/>
    <w:rsid w:val="00F06C67"/>
    <w:rsid w:val="00F06DFD"/>
    <w:rsid w:val="00F071D1"/>
    <w:rsid w:val="00F07533"/>
    <w:rsid w:val="00F10629"/>
    <w:rsid w:val="00F118F7"/>
    <w:rsid w:val="00F15FA5"/>
    <w:rsid w:val="00F206D5"/>
    <w:rsid w:val="00F209B7"/>
    <w:rsid w:val="00F20F5C"/>
    <w:rsid w:val="00F21D18"/>
    <w:rsid w:val="00F22894"/>
    <w:rsid w:val="00F235E5"/>
    <w:rsid w:val="00F2376F"/>
    <w:rsid w:val="00F243D8"/>
    <w:rsid w:val="00F26674"/>
    <w:rsid w:val="00F273D4"/>
    <w:rsid w:val="00F30828"/>
    <w:rsid w:val="00F313D6"/>
    <w:rsid w:val="00F36EE9"/>
    <w:rsid w:val="00F40F0C"/>
    <w:rsid w:val="00F43A3F"/>
    <w:rsid w:val="00F446A6"/>
    <w:rsid w:val="00F4766C"/>
    <w:rsid w:val="00F5060E"/>
    <w:rsid w:val="00F507D1"/>
    <w:rsid w:val="00F519CE"/>
    <w:rsid w:val="00F51ADA"/>
    <w:rsid w:val="00F5420A"/>
    <w:rsid w:val="00F56C1E"/>
    <w:rsid w:val="00F57255"/>
    <w:rsid w:val="00F60203"/>
    <w:rsid w:val="00F607C5"/>
    <w:rsid w:val="00F60DEA"/>
    <w:rsid w:val="00F6302A"/>
    <w:rsid w:val="00F63950"/>
    <w:rsid w:val="00F64C2B"/>
    <w:rsid w:val="00F651BE"/>
    <w:rsid w:val="00F65AD8"/>
    <w:rsid w:val="00F66969"/>
    <w:rsid w:val="00F67F53"/>
    <w:rsid w:val="00F703BE"/>
    <w:rsid w:val="00F70BCA"/>
    <w:rsid w:val="00F71F69"/>
    <w:rsid w:val="00F72B72"/>
    <w:rsid w:val="00F73ADE"/>
    <w:rsid w:val="00F74BB9"/>
    <w:rsid w:val="00F75582"/>
    <w:rsid w:val="00F76EFA"/>
    <w:rsid w:val="00F774AC"/>
    <w:rsid w:val="00F804BE"/>
    <w:rsid w:val="00F80B30"/>
    <w:rsid w:val="00F80FAD"/>
    <w:rsid w:val="00F817CE"/>
    <w:rsid w:val="00F8456C"/>
    <w:rsid w:val="00F85466"/>
    <w:rsid w:val="00F859D8"/>
    <w:rsid w:val="00F868F5"/>
    <w:rsid w:val="00F86A57"/>
    <w:rsid w:val="00F9056A"/>
    <w:rsid w:val="00F90F8D"/>
    <w:rsid w:val="00F92782"/>
    <w:rsid w:val="00F9395F"/>
    <w:rsid w:val="00F93AA9"/>
    <w:rsid w:val="00F94145"/>
    <w:rsid w:val="00F949CB"/>
    <w:rsid w:val="00F96985"/>
    <w:rsid w:val="00F97838"/>
    <w:rsid w:val="00FA2BB3"/>
    <w:rsid w:val="00FA3AD7"/>
    <w:rsid w:val="00FB4C80"/>
    <w:rsid w:val="00FB559F"/>
    <w:rsid w:val="00FB6A6A"/>
    <w:rsid w:val="00FC1A28"/>
    <w:rsid w:val="00FC2B7D"/>
    <w:rsid w:val="00FC4C51"/>
    <w:rsid w:val="00FC7429"/>
    <w:rsid w:val="00FD07F6"/>
    <w:rsid w:val="00FD1AA3"/>
    <w:rsid w:val="00FD1EC8"/>
    <w:rsid w:val="00FD2A3F"/>
    <w:rsid w:val="00FD47ED"/>
    <w:rsid w:val="00FD74DB"/>
    <w:rsid w:val="00FD7660"/>
    <w:rsid w:val="00FE0655"/>
    <w:rsid w:val="00FE2365"/>
    <w:rsid w:val="00FE37D7"/>
    <w:rsid w:val="00FE3DEB"/>
    <w:rsid w:val="00FE4C7B"/>
    <w:rsid w:val="00FE7336"/>
    <w:rsid w:val="00FE787C"/>
    <w:rsid w:val="00FF45A5"/>
    <w:rsid w:val="00FF5247"/>
    <w:rsid w:val="00FF5C91"/>
    <w:rsid w:val="03D28E91"/>
    <w:rsid w:val="05491C25"/>
    <w:rsid w:val="37A405FF"/>
    <w:rsid w:val="7DB063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94D59DE4-0651-407D-BEBF-F78A3265F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682070"/>
    <w:rPr>
      <w:color w:val="808080"/>
    </w:rPr>
  </w:style>
  <w:style w:type="character" w:customStyle="1" w:styleId="B1Char">
    <w:name w:val="B1 Char"/>
    <w:qFormat/>
    <w:rsid w:val="006A6F7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671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10214</TotalTime>
  <Pages>3</Pages>
  <Words>1468</Words>
  <Characters>8369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9818</CharactersWithSpaces>
  <SharedDoc>false</SharedDoc>
  <HLinks>
    <vt:vector size="24" baseType="variant">
      <vt:variant>
        <vt:i4>1114173</vt:i4>
      </vt:variant>
      <vt:variant>
        <vt:i4>14</vt:i4>
      </vt:variant>
      <vt:variant>
        <vt:i4>0</vt:i4>
      </vt:variant>
      <vt:variant>
        <vt:i4>5</vt:i4>
      </vt:variant>
      <vt:variant>
        <vt:lpwstr/>
      </vt:variant>
      <vt:variant>
        <vt:lpwstr>_Toc109220748</vt:lpwstr>
      </vt:variant>
      <vt:variant>
        <vt:i4>1048638</vt:i4>
      </vt:variant>
      <vt:variant>
        <vt:i4>8</vt:i4>
      </vt:variant>
      <vt:variant>
        <vt:i4>0</vt:i4>
      </vt:variant>
      <vt:variant>
        <vt:i4>5</vt:i4>
      </vt:variant>
      <vt:variant>
        <vt:lpwstr/>
      </vt:variant>
      <vt:variant>
        <vt:lpwstr>_Toc109143252</vt:lpwstr>
      </vt:variant>
      <vt:variant>
        <vt:i4>1048638</vt:i4>
      </vt:variant>
      <vt:variant>
        <vt:i4>5</vt:i4>
      </vt:variant>
      <vt:variant>
        <vt:i4>0</vt:i4>
      </vt:variant>
      <vt:variant>
        <vt:i4>5</vt:i4>
      </vt:variant>
      <vt:variant>
        <vt:lpwstr/>
      </vt:variant>
      <vt:variant>
        <vt:lpwstr>_Toc109143251</vt:lpwstr>
      </vt:variant>
      <vt:variant>
        <vt:i4>1048638</vt:i4>
      </vt:variant>
      <vt:variant>
        <vt:i4>2</vt:i4>
      </vt:variant>
      <vt:variant>
        <vt:i4>0</vt:i4>
      </vt:variant>
      <vt:variant>
        <vt:i4>5</vt:i4>
      </vt:variant>
      <vt:variant>
        <vt:lpwstr/>
      </vt:variant>
      <vt:variant>
        <vt:lpwstr>_Toc109143250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Rapporteur</cp:lastModifiedBy>
  <cp:revision>463</cp:revision>
  <cp:lastPrinted>2008-01-31T16:09:00Z</cp:lastPrinted>
  <dcterms:created xsi:type="dcterms:W3CDTF">2022-06-27T21:18:00Z</dcterms:created>
  <dcterms:modified xsi:type="dcterms:W3CDTF">2022-11-04T09:06:00Z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